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F52" w:rsidRPr="00D913EE" w:rsidRDefault="00942F52" w:rsidP="00942F52">
      <w:pPr>
        <w:pStyle w:val="ConsPlusTitle"/>
        <w:jc w:val="center"/>
        <w:rPr>
          <w:rFonts w:ascii="Times New Roman" w:hAnsi="Times New Roman"/>
          <w:sz w:val="30"/>
        </w:rPr>
      </w:pPr>
    </w:p>
    <w:p w:rsidR="00942F52" w:rsidRPr="00E01AB9" w:rsidRDefault="00942F52" w:rsidP="00942F52">
      <w:pPr>
        <w:pStyle w:val="ConsPlusTitle"/>
        <w:jc w:val="center"/>
        <w:rPr>
          <w:rFonts w:ascii="Times New Roman" w:hAnsi="Times New Roman"/>
          <w:sz w:val="30"/>
        </w:rPr>
      </w:pPr>
      <w:r w:rsidRPr="00E01AB9">
        <w:rPr>
          <w:rFonts w:ascii="Times New Roman" w:hAnsi="Times New Roman"/>
          <w:sz w:val="30"/>
        </w:rPr>
        <w:t>ПОЯСНИТЕЛЬНАЯ ЗАПИСКА</w:t>
      </w:r>
    </w:p>
    <w:p w:rsidR="00942F52" w:rsidRPr="00E01AB9" w:rsidRDefault="00942F52" w:rsidP="00942F52">
      <w:pPr>
        <w:pStyle w:val="ConsPlusTitle"/>
        <w:jc w:val="center"/>
        <w:rPr>
          <w:rFonts w:ascii="Times New Roman" w:hAnsi="Times New Roman"/>
          <w:sz w:val="30"/>
        </w:rPr>
      </w:pPr>
      <w:r w:rsidRPr="00E01AB9">
        <w:rPr>
          <w:rFonts w:ascii="Times New Roman" w:hAnsi="Times New Roman"/>
          <w:sz w:val="30"/>
        </w:rPr>
        <w:t>к проекту закона Самарской области</w:t>
      </w:r>
    </w:p>
    <w:p w:rsidR="00942F52" w:rsidRPr="00E01AB9" w:rsidRDefault="00942F52" w:rsidP="00942F52">
      <w:pPr>
        <w:pStyle w:val="ConsPlusTitle"/>
        <w:jc w:val="center"/>
        <w:rPr>
          <w:rFonts w:ascii="Times New Roman" w:hAnsi="Times New Roman"/>
          <w:sz w:val="30"/>
        </w:rPr>
      </w:pPr>
      <w:r w:rsidRPr="00E01AB9">
        <w:rPr>
          <w:rFonts w:ascii="Times New Roman" w:hAnsi="Times New Roman"/>
          <w:sz w:val="30"/>
        </w:rPr>
        <w:t>«Об областном бюджете на 202</w:t>
      </w:r>
      <w:r w:rsidR="0044387C" w:rsidRPr="00E01AB9">
        <w:rPr>
          <w:rFonts w:ascii="Times New Roman" w:hAnsi="Times New Roman"/>
          <w:sz w:val="30"/>
        </w:rPr>
        <w:t>3</w:t>
      </w:r>
      <w:r w:rsidRPr="00E01AB9">
        <w:rPr>
          <w:rFonts w:ascii="Times New Roman" w:hAnsi="Times New Roman"/>
          <w:sz w:val="30"/>
        </w:rPr>
        <w:t xml:space="preserve"> год и </w:t>
      </w:r>
      <w:proofErr w:type="gramStart"/>
      <w:r w:rsidRPr="00E01AB9">
        <w:rPr>
          <w:rFonts w:ascii="Times New Roman" w:hAnsi="Times New Roman"/>
          <w:sz w:val="30"/>
        </w:rPr>
        <w:t>на</w:t>
      </w:r>
      <w:proofErr w:type="gramEnd"/>
      <w:r w:rsidRPr="00E01AB9">
        <w:rPr>
          <w:rFonts w:ascii="Times New Roman" w:hAnsi="Times New Roman"/>
          <w:sz w:val="30"/>
        </w:rPr>
        <w:t xml:space="preserve"> плановый </w:t>
      </w:r>
    </w:p>
    <w:p w:rsidR="00942F52" w:rsidRPr="00E01AB9" w:rsidRDefault="0044387C" w:rsidP="00942F52">
      <w:pPr>
        <w:pStyle w:val="ConsPlusTitle"/>
        <w:jc w:val="center"/>
        <w:rPr>
          <w:rFonts w:ascii="Times New Roman" w:hAnsi="Times New Roman"/>
          <w:sz w:val="30"/>
        </w:rPr>
      </w:pPr>
      <w:r w:rsidRPr="00E01AB9">
        <w:rPr>
          <w:rFonts w:ascii="Times New Roman" w:hAnsi="Times New Roman"/>
          <w:sz w:val="30"/>
        </w:rPr>
        <w:t>период 2024</w:t>
      </w:r>
      <w:r w:rsidR="00942F52" w:rsidRPr="00E01AB9">
        <w:rPr>
          <w:rFonts w:ascii="Times New Roman" w:hAnsi="Times New Roman"/>
          <w:sz w:val="30"/>
        </w:rPr>
        <w:t xml:space="preserve"> и 202</w:t>
      </w:r>
      <w:r w:rsidRPr="00E01AB9">
        <w:rPr>
          <w:rFonts w:ascii="Times New Roman" w:hAnsi="Times New Roman"/>
          <w:sz w:val="30"/>
        </w:rPr>
        <w:t>5</w:t>
      </w:r>
      <w:r w:rsidR="00942F52" w:rsidRPr="00E01AB9">
        <w:rPr>
          <w:rFonts w:ascii="Times New Roman" w:hAnsi="Times New Roman"/>
          <w:sz w:val="30"/>
        </w:rPr>
        <w:t xml:space="preserve"> годов»</w:t>
      </w:r>
    </w:p>
    <w:p w:rsidR="00942F52" w:rsidRPr="00E01AB9" w:rsidRDefault="00942F52" w:rsidP="00942F52">
      <w:pPr>
        <w:widowControl w:val="0"/>
        <w:spacing w:line="360" w:lineRule="auto"/>
        <w:ind w:firstLine="720"/>
      </w:pPr>
    </w:p>
    <w:p w:rsidR="0044387C" w:rsidRPr="00E01AB9" w:rsidRDefault="0044387C" w:rsidP="0044387C">
      <w:pPr>
        <w:widowControl w:val="0"/>
        <w:tabs>
          <w:tab w:val="clear" w:pos="-30"/>
          <w:tab w:val="clear" w:pos="0"/>
        </w:tabs>
        <w:spacing w:line="360" w:lineRule="auto"/>
      </w:pPr>
      <w:r w:rsidRPr="00E01AB9">
        <w:t>В представленном проекте закона Самарской области «Об областном бюджете на 2023 год и на плановый период 2024 и 2025 годов» доходы областного бюджета запланированы:</w:t>
      </w:r>
    </w:p>
    <w:p w:rsidR="0044387C" w:rsidRPr="00E01AB9" w:rsidRDefault="0044387C" w:rsidP="0044387C">
      <w:pPr>
        <w:widowControl w:val="0"/>
        <w:tabs>
          <w:tab w:val="clear" w:pos="-30"/>
          <w:tab w:val="clear" w:pos="0"/>
        </w:tabs>
        <w:spacing w:line="360" w:lineRule="auto"/>
      </w:pPr>
      <w:r w:rsidRPr="00E01AB9">
        <w:t>на 2023 год в размере 191 916  млн. рублей;</w:t>
      </w:r>
    </w:p>
    <w:p w:rsidR="00CF5FDE" w:rsidRPr="00E01AB9" w:rsidRDefault="00CF5FDE" w:rsidP="00CF5FDE">
      <w:pPr>
        <w:widowControl w:val="0"/>
        <w:tabs>
          <w:tab w:val="clear" w:pos="-30"/>
          <w:tab w:val="clear" w:pos="0"/>
        </w:tabs>
        <w:spacing w:line="360" w:lineRule="auto"/>
      </w:pPr>
      <w:r w:rsidRPr="00E01AB9">
        <w:t>на 2024 год в размере 215 194  млн. рублей;</w:t>
      </w:r>
    </w:p>
    <w:p w:rsidR="00CF5FDE" w:rsidRPr="00E01AB9" w:rsidRDefault="00CF5FDE" w:rsidP="00CF5FDE">
      <w:pPr>
        <w:spacing w:line="360" w:lineRule="auto"/>
        <w:contextualSpacing/>
      </w:pPr>
      <w:r w:rsidRPr="00E01AB9">
        <w:t>на 2025 год в размере 222 714  млн. рублей.</w:t>
      </w:r>
    </w:p>
    <w:p w:rsidR="0044387C" w:rsidRPr="00E01AB9" w:rsidRDefault="0044387C" w:rsidP="0044387C">
      <w:pPr>
        <w:widowControl w:val="0"/>
        <w:tabs>
          <w:tab w:val="clear" w:pos="-30"/>
          <w:tab w:val="clear" w:pos="0"/>
        </w:tabs>
        <w:spacing w:line="360" w:lineRule="auto"/>
      </w:pPr>
      <w:r w:rsidRPr="00E01AB9">
        <w:t>Расходы областного бюджета запланированы:</w:t>
      </w:r>
    </w:p>
    <w:p w:rsidR="0044387C" w:rsidRPr="00E01AB9" w:rsidRDefault="0044387C" w:rsidP="0044387C">
      <w:pPr>
        <w:spacing w:line="360" w:lineRule="auto"/>
      </w:pPr>
      <w:r w:rsidRPr="00E01AB9">
        <w:t xml:space="preserve">на 2023 год в размере </w:t>
      </w:r>
      <w:r w:rsidR="00F50105" w:rsidRPr="00E01AB9">
        <w:t>217 009</w:t>
      </w:r>
      <w:r w:rsidRPr="00E01AB9">
        <w:t xml:space="preserve"> млн. рублей;</w:t>
      </w:r>
    </w:p>
    <w:p w:rsidR="0044387C" w:rsidRPr="00E01AB9" w:rsidRDefault="0044387C" w:rsidP="0044387C">
      <w:pPr>
        <w:spacing w:line="360" w:lineRule="auto"/>
      </w:pPr>
      <w:r w:rsidRPr="00E01AB9">
        <w:t xml:space="preserve">на 2024 год в размере </w:t>
      </w:r>
      <w:r w:rsidR="00E50F53" w:rsidRPr="00E01AB9">
        <w:t>235 654</w:t>
      </w:r>
      <w:r w:rsidR="00F50105" w:rsidRPr="00E01AB9">
        <w:t xml:space="preserve"> </w:t>
      </w:r>
      <w:r w:rsidRPr="00E01AB9">
        <w:t>млн. рублей, из них условно утвержденные расходы</w:t>
      </w:r>
      <w:r w:rsidRPr="00E01AB9">
        <w:rPr>
          <w:rFonts w:eastAsia="Times New Roman"/>
          <w:bCs/>
          <w:iCs/>
        </w:rPr>
        <w:t xml:space="preserve"> </w:t>
      </w:r>
      <w:r w:rsidR="00E50F53" w:rsidRPr="00E01AB9">
        <w:rPr>
          <w:rFonts w:eastAsia="Times New Roman"/>
          <w:bCs/>
          <w:iCs/>
        </w:rPr>
        <w:t>11 856</w:t>
      </w:r>
      <w:r w:rsidRPr="00E01AB9">
        <w:rPr>
          <w:rFonts w:eastAsia="Times New Roman"/>
          <w:bCs/>
          <w:iCs/>
        </w:rPr>
        <w:t xml:space="preserve"> </w:t>
      </w:r>
      <w:r w:rsidRPr="00E01AB9">
        <w:t>млн. рублей;</w:t>
      </w:r>
    </w:p>
    <w:p w:rsidR="0044387C" w:rsidRPr="00E01AB9" w:rsidRDefault="0044387C" w:rsidP="0044387C">
      <w:pPr>
        <w:widowControl w:val="0"/>
        <w:tabs>
          <w:tab w:val="clear" w:pos="-30"/>
          <w:tab w:val="clear" w:pos="0"/>
        </w:tabs>
        <w:spacing w:line="360" w:lineRule="auto"/>
      </w:pPr>
      <w:r w:rsidRPr="00E01AB9">
        <w:t xml:space="preserve">на 2025 год в размере </w:t>
      </w:r>
      <w:r w:rsidR="00E50F53" w:rsidRPr="00E01AB9">
        <w:t>224 217</w:t>
      </w:r>
      <w:r w:rsidR="00F50105" w:rsidRPr="00E01AB9">
        <w:t xml:space="preserve"> </w:t>
      </w:r>
      <w:r w:rsidRPr="00E01AB9">
        <w:t>млн. рублей, из них условно утвержденные расходы</w:t>
      </w:r>
      <w:r w:rsidR="00F50105" w:rsidRPr="00E01AB9">
        <w:t xml:space="preserve"> </w:t>
      </w:r>
      <w:r w:rsidR="00E50F53" w:rsidRPr="00E01AB9">
        <w:t>13 886</w:t>
      </w:r>
      <w:r w:rsidRPr="00E01AB9">
        <w:t xml:space="preserve"> млн. рублей.</w:t>
      </w:r>
    </w:p>
    <w:p w:rsidR="0044387C" w:rsidRPr="00E01AB9" w:rsidRDefault="0044387C" w:rsidP="0044387C">
      <w:pPr>
        <w:widowControl w:val="0"/>
        <w:tabs>
          <w:tab w:val="clear" w:pos="-30"/>
          <w:tab w:val="clear" w:pos="0"/>
        </w:tabs>
        <w:spacing w:line="360" w:lineRule="auto"/>
      </w:pPr>
      <w:r w:rsidRPr="00E01AB9">
        <w:t>Параметры условно утвержденных расходов соответствуют требованиям Бюджетного кодекса Российской Федерации.</w:t>
      </w:r>
    </w:p>
    <w:p w:rsidR="0044387C" w:rsidRPr="00E01AB9" w:rsidRDefault="0044387C" w:rsidP="0044387C">
      <w:pPr>
        <w:spacing w:line="360" w:lineRule="auto"/>
        <w:contextualSpacing/>
      </w:pPr>
      <w:r w:rsidRPr="00E01AB9">
        <w:t xml:space="preserve">Дефицит областного бюджета в 2023 году составит </w:t>
      </w:r>
      <w:r w:rsidR="00D32B5E" w:rsidRPr="00E01AB9">
        <w:t>25 092,9</w:t>
      </w:r>
      <w:r w:rsidR="00F50105" w:rsidRPr="00E01AB9">
        <w:t xml:space="preserve"> </w:t>
      </w:r>
      <w:r w:rsidRPr="00E01AB9">
        <w:t>млн. рублей, в 2024 году –</w:t>
      </w:r>
      <w:r w:rsidR="00D32B5E" w:rsidRPr="00E01AB9">
        <w:t xml:space="preserve"> 20</w:t>
      </w:r>
      <w:r w:rsidR="00E50F53" w:rsidRPr="00E01AB9">
        <w:t> 460,6</w:t>
      </w:r>
      <w:r w:rsidR="00D32B5E" w:rsidRPr="00E01AB9">
        <w:t xml:space="preserve"> млн. рублей, в 2025 году – </w:t>
      </w:r>
      <w:r w:rsidR="00E50F53" w:rsidRPr="00E01AB9">
        <w:t>1 503</w:t>
      </w:r>
      <w:r w:rsidR="00D32B5E" w:rsidRPr="00E01AB9">
        <w:t xml:space="preserve"> млн. рублей.</w:t>
      </w:r>
    </w:p>
    <w:p w:rsidR="0044387C" w:rsidRPr="00E01AB9" w:rsidRDefault="0044387C" w:rsidP="0044387C">
      <w:pPr>
        <w:spacing w:line="360" w:lineRule="auto"/>
      </w:pPr>
      <w:r w:rsidRPr="00E01AB9">
        <w:t>При составлении законопроекта использовались следующие показатели:</w:t>
      </w:r>
    </w:p>
    <w:p w:rsidR="0044387C" w:rsidRPr="00E01AB9" w:rsidRDefault="0044387C" w:rsidP="0044387C">
      <w:pPr>
        <w:spacing w:line="360" w:lineRule="auto"/>
      </w:pPr>
      <w:r w:rsidRPr="00E01AB9">
        <w:t>прогноз социально-экономического развития Самарской области на 2023 год и плановый период 2024 и 2025 годов;</w:t>
      </w:r>
    </w:p>
    <w:p w:rsidR="0044387C" w:rsidRPr="00E01AB9" w:rsidRDefault="0044387C" w:rsidP="0044387C">
      <w:pPr>
        <w:spacing w:line="360" w:lineRule="auto"/>
      </w:pPr>
      <w:r w:rsidRPr="00E01AB9">
        <w:t>основные характеристики областного бюджета текущего года;</w:t>
      </w:r>
    </w:p>
    <w:p w:rsidR="0044387C" w:rsidRPr="00E01AB9" w:rsidRDefault="0044387C" w:rsidP="0044387C">
      <w:pPr>
        <w:spacing w:line="360" w:lineRule="auto"/>
      </w:pPr>
      <w:r w:rsidRPr="00E01AB9">
        <w:t>оценка ожидаемого исполнения бюджета текущего года.</w:t>
      </w:r>
    </w:p>
    <w:p w:rsidR="00942F52" w:rsidRPr="00E01AB9" w:rsidRDefault="00942F52" w:rsidP="00942F52">
      <w:pPr>
        <w:widowControl w:val="0"/>
        <w:spacing w:line="360" w:lineRule="auto"/>
        <w:ind w:firstLine="0"/>
        <w:jc w:val="center"/>
        <w:rPr>
          <w:b/>
        </w:rPr>
      </w:pPr>
    </w:p>
    <w:p w:rsidR="00942F52" w:rsidRPr="00E01AB9" w:rsidRDefault="00942F52" w:rsidP="00942F52">
      <w:pPr>
        <w:widowControl w:val="0"/>
        <w:spacing w:line="360" w:lineRule="auto"/>
        <w:ind w:firstLine="0"/>
        <w:jc w:val="center"/>
        <w:rPr>
          <w:b/>
        </w:rPr>
      </w:pPr>
      <w:r w:rsidRPr="00E01AB9">
        <w:rPr>
          <w:b/>
        </w:rPr>
        <w:t>Доходы</w:t>
      </w:r>
    </w:p>
    <w:p w:rsidR="0044387C" w:rsidRPr="00E01AB9" w:rsidRDefault="0044387C" w:rsidP="0044387C">
      <w:pPr>
        <w:spacing w:line="360" w:lineRule="auto"/>
        <w:contextualSpacing/>
      </w:pPr>
      <w:r w:rsidRPr="00E01AB9">
        <w:t xml:space="preserve">Проект закона Самарской области «Об областном бюджете на 2023 год и на плановый период 2024 и 2025 годов» (далее – законопроект) </w:t>
      </w:r>
      <w:r w:rsidRPr="00E01AB9">
        <w:lastRenderedPageBreak/>
        <w:t>сформирован исходя из действующих норм федерального и регионального законодательства.</w:t>
      </w:r>
    </w:p>
    <w:p w:rsidR="0044387C" w:rsidRPr="00E01AB9" w:rsidRDefault="0044387C" w:rsidP="0044387C">
      <w:pPr>
        <w:spacing w:line="360" w:lineRule="auto"/>
        <w:contextualSpacing/>
      </w:pPr>
      <w:r w:rsidRPr="00E01AB9">
        <w:t>При расчете доходной части областного бюджета учтены следующие изменения федерального законодательства:</w:t>
      </w:r>
    </w:p>
    <w:p w:rsidR="0044387C" w:rsidRPr="00E01AB9" w:rsidRDefault="0044387C" w:rsidP="0044387C">
      <w:pPr>
        <w:pStyle w:val="1"/>
        <w:numPr>
          <w:ilvl w:val="0"/>
          <w:numId w:val="2"/>
        </w:numPr>
        <w:spacing w:line="360" w:lineRule="auto"/>
        <w:ind w:firstLine="709"/>
        <w:jc w:val="both"/>
        <w:rPr>
          <w:sz w:val="28"/>
          <w:szCs w:val="28"/>
        </w:rPr>
      </w:pPr>
      <w:r w:rsidRPr="00E01AB9">
        <w:rPr>
          <w:sz w:val="28"/>
          <w:szCs w:val="28"/>
        </w:rPr>
        <w:t>продолжение централизации в федеральном бюджете дополнительного 1 п.п. налога на прибыль организаций (снижение ставки налога на прибыль организаций, подлежащего зачислению в бюджеты субъектов Российской Федерации с 18% до 17%);</w:t>
      </w:r>
    </w:p>
    <w:p w:rsidR="0044387C" w:rsidRPr="00E01AB9" w:rsidRDefault="0044387C" w:rsidP="0044387C">
      <w:pPr>
        <w:pStyle w:val="1"/>
        <w:numPr>
          <w:ilvl w:val="0"/>
          <w:numId w:val="2"/>
        </w:numPr>
        <w:spacing w:line="360" w:lineRule="auto"/>
        <w:ind w:firstLine="709"/>
        <w:jc w:val="both"/>
        <w:rPr>
          <w:sz w:val="28"/>
          <w:szCs w:val="28"/>
        </w:rPr>
      </w:pPr>
      <w:r w:rsidRPr="00E01AB9">
        <w:rPr>
          <w:sz w:val="28"/>
          <w:szCs w:val="28"/>
        </w:rPr>
        <w:t>отмена консолидированных групп налогоплательщиков с 01.01.2023;</w:t>
      </w:r>
    </w:p>
    <w:p w:rsidR="0044387C" w:rsidRPr="00E01AB9" w:rsidRDefault="0044387C" w:rsidP="0044387C">
      <w:pPr>
        <w:pStyle w:val="1"/>
        <w:numPr>
          <w:ilvl w:val="0"/>
          <w:numId w:val="2"/>
        </w:numPr>
        <w:spacing w:line="360" w:lineRule="auto"/>
        <w:ind w:firstLine="709"/>
        <w:jc w:val="both"/>
        <w:rPr>
          <w:sz w:val="28"/>
          <w:szCs w:val="28"/>
        </w:rPr>
      </w:pPr>
      <w:r w:rsidRPr="00E01AB9">
        <w:rPr>
          <w:sz w:val="28"/>
          <w:szCs w:val="28"/>
        </w:rPr>
        <w:t xml:space="preserve">индексация ставок акцизов на алкогольную продукцию и пиво </w:t>
      </w:r>
      <w:r w:rsidRPr="00E01AB9">
        <w:rPr>
          <w:sz w:val="28"/>
          <w:szCs w:val="28"/>
        </w:rPr>
        <w:br/>
        <w:t xml:space="preserve">в 2023 </w:t>
      </w:r>
      <w:r w:rsidRPr="00E01AB9">
        <w:t xml:space="preserve">– </w:t>
      </w:r>
      <w:r w:rsidRPr="00E01AB9">
        <w:rPr>
          <w:sz w:val="28"/>
          <w:szCs w:val="28"/>
        </w:rPr>
        <w:t>2025 годах (на уровень инфляции);</w:t>
      </w:r>
    </w:p>
    <w:p w:rsidR="0044387C" w:rsidRPr="00E01AB9" w:rsidRDefault="0044387C" w:rsidP="0044387C">
      <w:pPr>
        <w:pStyle w:val="1"/>
        <w:numPr>
          <w:ilvl w:val="0"/>
          <w:numId w:val="2"/>
        </w:numPr>
        <w:spacing w:line="360" w:lineRule="auto"/>
        <w:ind w:firstLine="709"/>
        <w:jc w:val="both"/>
        <w:rPr>
          <w:sz w:val="28"/>
          <w:szCs w:val="28"/>
        </w:rPr>
      </w:pPr>
      <w:r w:rsidRPr="00E01AB9">
        <w:rPr>
          <w:sz w:val="28"/>
          <w:szCs w:val="28"/>
        </w:rPr>
        <w:t>отмена с 01.01.2024 возможности предоставления налоговых льгот по налогу на прибыль организаций;</w:t>
      </w:r>
    </w:p>
    <w:p w:rsidR="0044387C" w:rsidRPr="00E01AB9" w:rsidRDefault="0044387C" w:rsidP="0044387C">
      <w:pPr>
        <w:pStyle w:val="1"/>
        <w:numPr>
          <w:ilvl w:val="0"/>
          <w:numId w:val="2"/>
        </w:numPr>
        <w:spacing w:line="360" w:lineRule="auto"/>
        <w:ind w:firstLine="709"/>
        <w:jc w:val="both"/>
        <w:rPr>
          <w:sz w:val="28"/>
          <w:szCs w:val="28"/>
        </w:rPr>
      </w:pPr>
      <w:r w:rsidRPr="00E01AB9">
        <w:rPr>
          <w:sz w:val="28"/>
          <w:szCs w:val="28"/>
        </w:rPr>
        <w:t>введение с 01.01.2023 года нового механизма уплаты налогов для всех организаций – единый налоговый платеж.</w:t>
      </w:r>
    </w:p>
    <w:p w:rsidR="0044387C" w:rsidRPr="00E01AB9" w:rsidRDefault="0044387C" w:rsidP="0044387C">
      <w:pPr>
        <w:spacing w:line="360" w:lineRule="auto"/>
        <w:ind w:firstLine="720"/>
      </w:pPr>
      <w:r w:rsidRPr="00E01AB9">
        <w:t>Прогноз налоговых и неналоговых доходов областного бюджета составил:</w:t>
      </w:r>
    </w:p>
    <w:p w:rsidR="0044387C" w:rsidRPr="00E01AB9" w:rsidRDefault="0044387C" w:rsidP="0044387C">
      <w:pPr>
        <w:spacing w:line="360" w:lineRule="auto"/>
        <w:ind w:firstLine="720"/>
      </w:pPr>
      <w:r w:rsidRPr="00E01AB9">
        <w:t>на 2023 год – 191 885 млн. рублей;</w:t>
      </w:r>
    </w:p>
    <w:p w:rsidR="00CF5FDE" w:rsidRPr="00E01AB9" w:rsidRDefault="00CF5FDE" w:rsidP="00CF5FDE">
      <w:pPr>
        <w:spacing w:line="360" w:lineRule="auto"/>
        <w:ind w:firstLine="720"/>
      </w:pPr>
      <w:r w:rsidRPr="00E01AB9">
        <w:t>на 2024 год – 215 194 млн. рублей;</w:t>
      </w:r>
    </w:p>
    <w:p w:rsidR="00CF5FDE" w:rsidRPr="00E01AB9" w:rsidRDefault="00CF5FDE" w:rsidP="00CF5FDE">
      <w:pPr>
        <w:spacing w:line="360" w:lineRule="auto"/>
        <w:ind w:firstLine="720"/>
      </w:pPr>
      <w:r w:rsidRPr="00E01AB9">
        <w:t xml:space="preserve">на 2025 год – 222 714  млн. рублей. </w:t>
      </w:r>
    </w:p>
    <w:p w:rsidR="0044387C" w:rsidRPr="00E01AB9" w:rsidRDefault="0044387C" w:rsidP="0044387C">
      <w:pPr>
        <w:spacing w:line="360" w:lineRule="auto"/>
        <w:ind w:firstLine="720"/>
      </w:pPr>
      <w:r w:rsidRPr="00E01AB9">
        <w:t xml:space="preserve">Для расчета прогнозных показателей по основным доходным источникам использованы показатели консервативного варианта прогноза социально-экономического развития на 2023 – 2025 годы, разработанного министерством экономического развития и инвестиций Самарской области. </w:t>
      </w:r>
    </w:p>
    <w:p w:rsidR="0044387C" w:rsidRPr="00E01AB9" w:rsidRDefault="0044387C" w:rsidP="0044387C">
      <w:pPr>
        <w:spacing w:line="360" w:lineRule="auto"/>
        <w:ind w:firstLine="720"/>
      </w:pPr>
      <w:r w:rsidRPr="00E01AB9">
        <w:t>Кроме того, по ряду неналоговых доходов областного бюджета использованы прогнозы главных администраторов доходов областного бюджета.</w:t>
      </w:r>
    </w:p>
    <w:p w:rsidR="0044387C" w:rsidRPr="00E01AB9" w:rsidRDefault="0044387C" w:rsidP="0044387C">
      <w:pPr>
        <w:spacing w:line="360" w:lineRule="auto"/>
      </w:pPr>
      <w:r w:rsidRPr="00E01AB9">
        <w:t xml:space="preserve">Проект областного бюджета сформирован без учета целевых поступлений из федерального бюджета, в связи с тем, что проект </w:t>
      </w:r>
      <w:r w:rsidRPr="00E01AB9">
        <w:lastRenderedPageBreak/>
        <w:t>федерального бюджета на 2023 год  и на плановый период 2024 и 2025 годов на момент формирования законопроекта не принят.</w:t>
      </w:r>
    </w:p>
    <w:p w:rsidR="0044387C" w:rsidRPr="00E01AB9" w:rsidRDefault="0044387C" w:rsidP="0044387C">
      <w:pPr>
        <w:pStyle w:val="ad"/>
        <w:tabs>
          <w:tab w:val="left" w:pos="4111"/>
        </w:tabs>
        <w:spacing w:line="360" w:lineRule="auto"/>
      </w:pPr>
      <w:r w:rsidRPr="00E01AB9">
        <w:t>При этом в законопроекте отражены безвозмездные поступления из бюджетов «сверхдоходных» муниципалитетов («отрицательные трансферты») на 2023 год в сумме 31 млн. рублей.</w:t>
      </w:r>
    </w:p>
    <w:p w:rsidR="00942F52" w:rsidRPr="00E01AB9" w:rsidRDefault="00942F52" w:rsidP="00942F52">
      <w:pPr>
        <w:widowControl w:val="0"/>
        <w:spacing w:line="276" w:lineRule="auto"/>
        <w:ind w:firstLine="0"/>
        <w:jc w:val="center"/>
        <w:rPr>
          <w:b/>
        </w:rPr>
      </w:pPr>
      <w:r w:rsidRPr="00E01AB9">
        <w:rPr>
          <w:b/>
        </w:rPr>
        <w:t xml:space="preserve">Источники финансирования дефицита, </w:t>
      </w:r>
    </w:p>
    <w:p w:rsidR="00942F52" w:rsidRPr="00E01AB9" w:rsidRDefault="00942F52" w:rsidP="00942F52">
      <w:pPr>
        <w:widowControl w:val="0"/>
        <w:spacing w:line="276" w:lineRule="auto"/>
        <w:ind w:firstLine="0"/>
        <w:jc w:val="center"/>
        <w:rPr>
          <w:b/>
        </w:rPr>
      </w:pPr>
      <w:r w:rsidRPr="00E01AB9">
        <w:rPr>
          <w:b/>
        </w:rPr>
        <w:t xml:space="preserve">государственный долг и заимствования </w:t>
      </w:r>
    </w:p>
    <w:p w:rsidR="00942F52" w:rsidRPr="00E01AB9" w:rsidRDefault="00942F52" w:rsidP="00942F52">
      <w:pPr>
        <w:widowControl w:val="0"/>
        <w:spacing w:line="276" w:lineRule="auto"/>
        <w:ind w:firstLine="0"/>
        <w:jc w:val="center"/>
        <w:rPr>
          <w:b/>
        </w:rPr>
      </w:pPr>
    </w:p>
    <w:p w:rsidR="0044387C" w:rsidRPr="00E01AB9" w:rsidRDefault="0044387C" w:rsidP="0044387C">
      <w:pPr>
        <w:autoSpaceDE w:val="0"/>
        <w:autoSpaceDN w:val="0"/>
        <w:adjustRightInd w:val="0"/>
        <w:spacing w:line="367" w:lineRule="auto"/>
      </w:pPr>
      <w:r w:rsidRPr="00E01AB9">
        <w:t>В 2023 – 2025 годах предусмотрено привлечение государственных внутренних заимствований Самарской области:</w:t>
      </w:r>
    </w:p>
    <w:p w:rsidR="0044387C" w:rsidRPr="00E01AB9" w:rsidRDefault="0044387C" w:rsidP="0044387C">
      <w:pPr>
        <w:autoSpaceDE w:val="0"/>
        <w:autoSpaceDN w:val="0"/>
        <w:adjustRightInd w:val="0"/>
        <w:spacing w:line="367" w:lineRule="auto"/>
      </w:pPr>
      <w:proofErr w:type="gramStart"/>
      <w:r w:rsidRPr="00E01AB9">
        <w:t xml:space="preserve">в 2023 году – 49 644 млн. рублей, в том числе в форме выпуска облигационного займа – 15 000 млн. рублей, банковских кредитов – </w:t>
      </w:r>
      <w:r w:rsidRPr="00E01AB9">
        <w:br/>
        <w:t>12 747 млн. рублей, бюджетных кредитов на финансовое обеспечение реализации инфраструктурных проектов – 5 904 млн. рублей и на пополнение остатка средств на едином счете бюджета внутри года – 15 993 млн. рублей.</w:t>
      </w:r>
      <w:proofErr w:type="gramEnd"/>
      <w:r w:rsidRPr="00E01AB9">
        <w:t xml:space="preserve"> Объем привлекаемых заимствований в 2023 году без учета бюджетного кредита на пополнение остатка средств на едином счете бюджета составит – 33 651 млн. рублей;</w:t>
      </w:r>
    </w:p>
    <w:p w:rsidR="007D3B94" w:rsidRPr="00E01AB9" w:rsidRDefault="007D3B94" w:rsidP="007D3B94">
      <w:pPr>
        <w:autoSpaceDE w:val="0"/>
        <w:autoSpaceDN w:val="0"/>
        <w:adjustRightInd w:val="0"/>
        <w:spacing w:line="367" w:lineRule="auto"/>
      </w:pPr>
      <w:r w:rsidRPr="00E01AB9">
        <w:t xml:space="preserve">в 2024 году – 42 050 млн. рублей, в том числе в форме выпуска облигационного займа – 20 000 млн. рублей, банковских кредитов – </w:t>
      </w:r>
      <w:r w:rsidRPr="00E01AB9">
        <w:br/>
        <w:t>22 050 млн. рублей;</w:t>
      </w:r>
    </w:p>
    <w:p w:rsidR="007D3B94" w:rsidRPr="00E01AB9" w:rsidRDefault="007D3B94" w:rsidP="007D3B94">
      <w:pPr>
        <w:autoSpaceDE w:val="0"/>
        <w:autoSpaceDN w:val="0"/>
        <w:adjustRightInd w:val="0"/>
        <w:spacing w:line="367" w:lineRule="auto"/>
      </w:pPr>
      <w:r w:rsidRPr="00E01AB9">
        <w:t xml:space="preserve">в 2025 году – 22 035 млн. рублей, в том числе в форме выпуска облигационного займа – 12 000 млн. рублей, банковских кредитов – </w:t>
      </w:r>
      <w:r w:rsidRPr="00E01AB9">
        <w:br/>
        <w:t>10 035 млн. рублей.</w:t>
      </w:r>
    </w:p>
    <w:p w:rsidR="0044387C" w:rsidRPr="00E01AB9" w:rsidRDefault="0044387C" w:rsidP="0044387C">
      <w:pPr>
        <w:autoSpaceDE w:val="0"/>
        <w:autoSpaceDN w:val="0"/>
        <w:adjustRightInd w:val="0"/>
        <w:spacing w:line="367" w:lineRule="auto"/>
      </w:pPr>
      <w:r w:rsidRPr="00E01AB9">
        <w:t>В соответствии с условиями погашения действующих государственных заимствований Самарской области, а также плановыми сроками погашения вновь привлекаемых заимствований, в 2023 – 2025 годах предусмотрены следующие объемы погашения основного долга:</w:t>
      </w:r>
    </w:p>
    <w:p w:rsidR="0044387C" w:rsidRPr="00E01AB9" w:rsidRDefault="0044387C" w:rsidP="0044387C">
      <w:pPr>
        <w:autoSpaceDE w:val="0"/>
        <w:autoSpaceDN w:val="0"/>
        <w:adjustRightInd w:val="0"/>
        <w:spacing w:line="367" w:lineRule="auto"/>
      </w:pPr>
      <w:proofErr w:type="gramStart"/>
      <w:r w:rsidRPr="00E01AB9">
        <w:t xml:space="preserve">в 2023 году – 24 551 млн. рублей, в том числе на погашение бюджетных кредитов из федерального бюджета – 16 604 млн. рублей (кредит </w:t>
      </w:r>
      <w:r w:rsidRPr="00E01AB9">
        <w:lastRenderedPageBreak/>
        <w:t>на пополнение остатка средств на едином счете бюджета – 15 993 млн. рублей, реструктурированная задолженность по бюджетным кредитам в целях частичного покрытия дефицита областного бюджета – 611 млн. рублей), облигационных займов – 6 200 млн. рублей, банковских кредитов – 1 747 млн</w:t>
      </w:r>
      <w:proofErr w:type="gramEnd"/>
      <w:r w:rsidRPr="00E01AB9">
        <w:t>. рублей. Объем долговых обязательств к погашению в 2022 году без учета краткосрочных заимствований по бюджетным кредитам, погашаемых внутри года, составит –  8 558 млн. рублей;</w:t>
      </w:r>
    </w:p>
    <w:p w:rsidR="0044387C" w:rsidRPr="00E01AB9" w:rsidRDefault="0044387C" w:rsidP="0044387C">
      <w:pPr>
        <w:autoSpaceDE w:val="0"/>
        <w:autoSpaceDN w:val="0"/>
        <w:adjustRightInd w:val="0"/>
        <w:spacing w:line="367" w:lineRule="auto"/>
      </w:pPr>
      <w:r w:rsidRPr="00E01AB9">
        <w:t>в 2024 году – 21 630 млн. рублей, в том числе на погашение реструктурированных бюджетных кредитов в целях частичного покрытия дефицита областного бюджет – 611 млн. рублей, облигационных займов –</w:t>
      </w:r>
      <w:r w:rsidRPr="00E01AB9">
        <w:br/>
        <w:t>7 300 млн. рублей, банковских кредитов – 12 747 млн. рублей;</w:t>
      </w:r>
    </w:p>
    <w:p w:rsidR="0044387C" w:rsidRPr="00E01AB9" w:rsidRDefault="0044387C" w:rsidP="0044387C">
      <w:pPr>
        <w:autoSpaceDE w:val="0"/>
        <w:autoSpaceDN w:val="0"/>
        <w:adjustRightInd w:val="0"/>
        <w:spacing w:line="367" w:lineRule="auto"/>
      </w:pPr>
      <w:proofErr w:type="gramStart"/>
      <w:r w:rsidRPr="00E01AB9">
        <w:t xml:space="preserve">в 2025 году – 23 160 млн. рублей, в том числе на погашение бюджетных кредитов из федерального бюджета – 7 510 млн. рублей (реструктурированная задолженность по бюджетным кредитам в целях частичного покрытия дефицита областного бюджета – 1 761 млн. рублей, </w:t>
      </w:r>
      <w:r w:rsidRPr="00E01AB9">
        <w:br/>
        <w:t xml:space="preserve">на финансовое обеспечение реализации инфраструктурных проектов – </w:t>
      </w:r>
      <w:r w:rsidRPr="00E01AB9">
        <w:br/>
        <w:t>1 394 млн. рублей, для погашения рыночных заимствований субъекта РФ и муниципальных образований – 3 766 млн. рублей</w:t>
      </w:r>
      <w:proofErr w:type="gramEnd"/>
      <w:r w:rsidRPr="00E01AB9">
        <w:t xml:space="preserve">, </w:t>
      </w:r>
      <w:proofErr w:type="gramStart"/>
      <w:r w:rsidRPr="00E01AB9">
        <w:rPr>
          <w:color w:val="000000"/>
        </w:rPr>
        <w:t>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w:t>
      </w:r>
      <w:r w:rsidRPr="00E01AB9">
        <w:t xml:space="preserve">) – 589 млн. рублей), облигационных займов – </w:t>
      </w:r>
      <w:r w:rsidRPr="00E01AB9">
        <w:br/>
        <w:t>4 100 млн. рублей, банковских кредитов – 11 550 млн. рублей.</w:t>
      </w:r>
      <w:proofErr w:type="gramEnd"/>
    </w:p>
    <w:p w:rsidR="0044387C" w:rsidRPr="00E01AB9" w:rsidRDefault="0044387C" w:rsidP="0044387C">
      <w:pPr>
        <w:autoSpaceDE w:val="0"/>
        <w:autoSpaceDN w:val="0"/>
        <w:adjustRightInd w:val="0"/>
        <w:spacing w:line="367" w:lineRule="auto"/>
      </w:pPr>
      <w:r w:rsidRPr="00E01AB9">
        <w:t xml:space="preserve">Объем государственного внутреннего долга Самарской области </w:t>
      </w:r>
      <w:r w:rsidRPr="00E01AB9">
        <w:br/>
        <w:t>в 2023 – 2025 годах составит:</w:t>
      </w:r>
    </w:p>
    <w:p w:rsidR="0044387C" w:rsidRPr="00E01AB9" w:rsidRDefault="0044387C" w:rsidP="0044387C">
      <w:pPr>
        <w:autoSpaceDE w:val="0"/>
        <w:autoSpaceDN w:val="0"/>
        <w:adjustRightInd w:val="0"/>
        <w:spacing w:line="367" w:lineRule="auto"/>
      </w:pPr>
      <w:r w:rsidRPr="00E01AB9">
        <w:t>на 1 января 2024 года – 89 980 млн. рублей (в том числе задолженность по рыночным заимствованиям – 39 847 млн. рублей, по бюджетным  кредитам – 50 133 млн. рублей);</w:t>
      </w:r>
    </w:p>
    <w:p w:rsidR="007D3B94" w:rsidRPr="00E01AB9" w:rsidRDefault="007D3B94" w:rsidP="007D3B94">
      <w:pPr>
        <w:autoSpaceDE w:val="0"/>
        <w:autoSpaceDN w:val="0"/>
        <w:adjustRightInd w:val="0"/>
        <w:spacing w:line="367" w:lineRule="auto"/>
      </w:pPr>
      <w:r w:rsidRPr="00E01AB9">
        <w:t>на 1 января 2025 года – 110 400 млн. рублей (в том числе задолженность по рыночным заимствованиям – 61 850 млн. рублей, по бюджетным  кредитам – 48 550 млн. рублей);</w:t>
      </w:r>
    </w:p>
    <w:p w:rsidR="007D3B94" w:rsidRPr="00E01AB9" w:rsidRDefault="007D3B94" w:rsidP="007D3B94">
      <w:pPr>
        <w:autoSpaceDE w:val="0"/>
        <w:autoSpaceDN w:val="0"/>
        <w:adjustRightInd w:val="0"/>
        <w:spacing w:line="367" w:lineRule="auto"/>
      </w:pPr>
      <w:r w:rsidRPr="00E01AB9">
        <w:lastRenderedPageBreak/>
        <w:t>на 1 января 2026 года – 109 274 млн. рублей (в том числе задолженность по рыночным заимствованиям – 68 235 млн. рублей, по бюджетным  кредитам – 41 039 млн. рублей).</w:t>
      </w:r>
    </w:p>
    <w:p w:rsidR="0044387C" w:rsidRPr="00E01AB9" w:rsidRDefault="0044387C" w:rsidP="0044387C">
      <w:pPr>
        <w:autoSpaceDE w:val="0"/>
        <w:autoSpaceDN w:val="0"/>
        <w:adjustRightInd w:val="0"/>
        <w:spacing w:line="367" w:lineRule="auto"/>
      </w:pPr>
      <w:proofErr w:type="gramStart"/>
      <w:r w:rsidRPr="00E01AB9">
        <w:t>Плановый уровень долговой нагрузки по всем видам долговых обязательств (без учета задолженности по инфраструктурным бюджетным кредитам и задолженности местных бюджетов перед субъектом РФ по бюджетным кредитам, предоставленным из бюджета субъекта РФ для погашения долговых обязательств по рыночным заимствованиям муниципальных образований за счет бюджетного кредита, предоставленного бюджету субъекта Российской Федерации из федерального бюджета для погашения рыночных долговых обязательств субъекта Российской Федерации</w:t>
      </w:r>
      <w:proofErr w:type="gramEnd"/>
      <w:r w:rsidRPr="00E01AB9">
        <w:t xml:space="preserve"> (</w:t>
      </w:r>
      <w:proofErr w:type="gramStart"/>
      <w:r w:rsidRPr="00E01AB9">
        <w:t xml:space="preserve">муниципального образования)) в 2023 - 2025 годах не превысит ограничения, установленные соглашениями с Минфином России по реструктуризации бюджетных кредитов и составит: на 01.01.2024 – 33% (ограничение Минфина России – 41%), на 01.01.2025 и на 01.01.2026 – 39% (ограничение Минфина России – 39%). </w:t>
      </w:r>
      <w:proofErr w:type="gramEnd"/>
    </w:p>
    <w:p w:rsidR="0044387C" w:rsidRPr="00E01AB9" w:rsidRDefault="0044387C" w:rsidP="0044387C">
      <w:pPr>
        <w:autoSpaceDE w:val="0"/>
        <w:autoSpaceDN w:val="0"/>
        <w:adjustRightInd w:val="0"/>
        <w:spacing w:line="367" w:lineRule="auto"/>
      </w:pPr>
      <w:r w:rsidRPr="00E01AB9">
        <w:t xml:space="preserve">При этом значение долговой нагрузки по рыночным заимствованиям в 2023 – 2025 годах планируется на более низком уровне относительно ограничений, установленных соглашениями с Минфином России по реструктуризации бюджетных кредитов и составит: на 01.01.2024 – 21%, на 01.01.2025 – 29%, на 01.01.2025 – 31%, при соответствующих ограничениях Минфина России в 2023 году не более 35% и в 2024-2025 годах не более 34%. </w:t>
      </w:r>
    </w:p>
    <w:p w:rsidR="0044387C" w:rsidRPr="00E01AB9" w:rsidRDefault="0044387C" w:rsidP="0044387C">
      <w:pPr>
        <w:autoSpaceDE w:val="0"/>
        <w:autoSpaceDN w:val="0"/>
        <w:adjustRightInd w:val="0"/>
        <w:spacing w:line="367" w:lineRule="auto"/>
      </w:pPr>
      <w:r w:rsidRPr="00E01AB9">
        <w:t xml:space="preserve">В источниках финансирования дефицита бюджета предусмотрены средства от возврата бюджетных кредитов, предоставляемых из областного бюджета, за вычетом ассигнований на предоставление соответствующих кредитов. </w:t>
      </w:r>
    </w:p>
    <w:p w:rsidR="00942F52" w:rsidRPr="00E01AB9" w:rsidRDefault="00942F52" w:rsidP="00942F52">
      <w:pPr>
        <w:widowControl w:val="0"/>
        <w:spacing w:line="360" w:lineRule="auto"/>
        <w:ind w:firstLine="0"/>
        <w:jc w:val="center"/>
        <w:rPr>
          <w:b/>
        </w:rPr>
      </w:pPr>
      <w:r w:rsidRPr="00E01AB9">
        <w:rPr>
          <w:b/>
        </w:rPr>
        <w:t>Расходы</w:t>
      </w:r>
    </w:p>
    <w:p w:rsidR="00C32A03" w:rsidRPr="00E01AB9" w:rsidRDefault="00942F52" w:rsidP="00942F52">
      <w:pPr>
        <w:tabs>
          <w:tab w:val="left" w:pos="142"/>
        </w:tabs>
        <w:spacing w:line="360" w:lineRule="auto"/>
      </w:pPr>
      <w:r w:rsidRPr="00E01AB9">
        <w:t>С учетом прогнозируемого объема поступлений и источников финансирования дефицита областного бюджета общий объем расходов на 202</w:t>
      </w:r>
      <w:r w:rsidR="0044387C" w:rsidRPr="00E01AB9">
        <w:t>3</w:t>
      </w:r>
      <w:r w:rsidRPr="00E01AB9">
        <w:t xml:space="preserve"> год сформирован в сумме </w:t>
      </w:r>
      <w:r w:rsidR="0044387C" w:rsidRPr="00E01AB9">
        <w:t>217 009</w:t>
      </w:r>
      <w:r w:rsidR="00C32A03" w:rsidRPr="00E01AB9">
        <w:t xml:space="preserve"> млн. рублей. </w:t>
      </w:r>
    </w:p>
    <w:p w:rsidR="00942F52" w:rsidRPr="00E01AB9" w:rsidRDefault="00942F52" w:rsidP="00942F52">
      <w:pPr>
        <w:tabs>
          <w:tab w:val="left" w:pos="142"/>
        </w:tabs>
        <w:spacing w:line="360" w:lineRule="auto"/>
      </w:pPr>
      <w:r w:rsidRPr="00E01AB9">
        <w:lastRenderedPageBreak/>
        <w:t>Расходная часть областного бюджета формировалась с учетом необходимости:</w:t>
      </w:r>
    </w:p>
    <w:p w:rsidR="00942F52" w:rsidRPr="00E01AB9" w:rsidRDefault="00942F52" w:rsidP="00942F52">
      <w:pPr>
        <w:tabs>
          <w:tab w:val="left" w:pos="142"/>
        </w:tabs>
        <w:spacing w:line="360" w:lineRule="auto"/>
      </w:pPr>
      <w:r w:rsidRPr="00E01AB9">
        <w:t>реализации указов Президента Российской Федерации от 2012 и               2018 годов, приоритетных национальных проектов;</w:t>
      </w:r>
    </w:p>
    <w:p w:rsidR="00FE722D" w:rsidRPr="00E01AB9" w:rsidRDefault="00FE722D" w:rsidP="00FE722D">
      <w:pPr>
        <w:tabs>
          <w:tab w:val="left" w:pos="142"/>
        </w:tabs>
        <w:spacing w:line="360" w:lineRule="auto"/>
      </w:pPr>
      <w:r w:rsidRPr="00E01AB9">
        <w:t>реализации принятых публичных нормативных обязательств и мер социальной поддержки населения, выплаты заработной платы работникам бюджетной сферы;</w:t>
      </w:r>
    </w:p>
    <w:p w:rsidR="00FE722D" w:rsidRPr="00E01AB9" w:rsidRDefault="00FE722D" w:rsidP="00FE722D">
      <w:pPr>
        <w:shd w:val="clear" w:color="auto" w:fill="FFFFFF"/>
        <w:tabs>
          <w:tab w:val="left" w:pos="993"/>
        </w:tabs>
        <w:spacing w:line="360" w:lineRule="auto"/>
      </w:pPr>
      <w:r w:rsidRPr="00E01AB9">
        <w:t>сохранения социальной направленности бюджета;</w:t>
      </w:r>
    </w:p>
    <w:p w:rsidR="00FE722D" w:rsidRPr="00E01AB9" w:rsidRDefault="00FE722D" w:rsidP="00FE722D">
      <w:pPr>
        <w:tabs>
          <w:tab w:val="left" w:pos="142"/>
        </w:tabs>
        <w:spacing w:line="336" w:lineRule="auto"/>
      </w:pPr>
      <w:r w:rsidRPr="00E01AB9">
        <w:t>поддержки муниципальных образований;</w:t>
      </w:r>
    </w:p>
    <w:p w:rsidR="00FE722D" w:rsidRPr="00E01AB9" w:rsidRDefault="00FE722D" w:rsidP="00FE722D">
      <w:pPr>
        <w:tabs>
          <w:tab w:val="left" w:pos="142"/>
        </w:tabs>
        <w:spacing w:line="360" w:lineRule="auto"/>
      </w:pPr>
      <w:r w:rsidRPr="00E01AB9">
        <w:t>оптимизации расходов.</w:t>
      </w:r>
    </w:p>
    <w:p w:rsidR="00942F52" w:rsidRPr="00E01AB9" w:rsidRDefault="00942F52" w:rsidP="00942F52">
      <w:pPr>
        <w:tabs>
          <w:tab w:val="left" w:pos="142"/>
        </w:tabs>
        <w:spacing w:line="336" w:lineRule="auto"/>
      </w:pPr>
      <w:r w:rsidRPr="00E01AB9">
        <w:t xml:space="preserve">Структура расходов областного бюджета в разрезе </w:t>
      </w:r>
      <w:proofErr w:type="gramStart"/>
      <w:r w:rsidRPr="00E01AB9">
        <w:t>разделов классификации расходов бюджетов бюджетной системы Российской Федерации</w:t>
      </w:r>
      <w:proofErr w:type="gramEnd"/>
      <w:r w:rsidRPr="00E01AB9">
        <w:t xml:space="preserve"> на 202</w:t>
      </w:r>
      <w:r w:rsidR="00D362BE" w:rsidRPr="00E01AB9">
        <w:t>3</w:t>
      </w:r>
      <w:r w:rsidRPr="00E01AB9">
        <w:t xml:space="preserve"> – 202</w:t>
      </w:r>
      <w:r w:rsidR="00D362BE" w:rsidRPr="00E01AB9">
        <w:t>5</w:t>
      </w:r>
      <w:r w:rsidRPr="00E01AB9">
        <w:t xml:space="preserve"> годы представлена в приложении к пояснительной записке.</w:t>
      </w:r>
    </w:p>
    <w:p w:rsidR="00942F52" w:rsidRPr="00E01AB9" w:rsidRDefault="00942F52" w:rsidP="00942F52">
      <w:pPr>
        <w:tabs>
          <w:tab w:val="left" w:pos="142"/>
        </w:tabs>
        <w:spacing w:line="360" w:lineRule="auto"/>
      </w:pPr>
      <w:r w:rsidRPr="00E01AB9">
        <w:t xml:space="preserve">Традиционно в бюджете отведена </w:t>
      </w:r>
      <w:r w:rsidR="00C32A03" w:rsidRPr="00E01AB9">
        <w:t>существенная</w:t>
      </w:r>
      <w:r w:rsidRPr="00E01AB9">
        <w:t xml:space="preserve"> роль </w:t>
      </w:r>
      <w:r w:rsidR="005148E6" w:rsidRPr="00E01AB9">
        <w:t>в</w:t>
      </w:r>
      <w:r w:rsidRPr="00E01AB9">
        <w:t xml:space="preserve"> финансировани</w:t>
      </w:r>
      <w:r w:rsidR="005148E6" w:rsidRPr="00E01AB9">
        <w:t>и</w:t>
      </w:r>
      <w:r w:rsidR="005148E6" w:rsidRPr="00E01AB9">
        <w:rPr>
          <w:color w:val="FF0000"/>
        </w:rPr>
        <w:t xml:space="preserve"> </w:t>
      </w:r>
      <w:r w:rsidRPr="00E01AB9">
        <w:t xml:space="preserve">социальных отраслей экономики, таких как социальная политика, образование, здравоохранение, </w:t>
      </w:r>
      <w:r w:rsidR="00C32A03" w:rsidRPr="00E01AB9">
        <w:t xml:space="preserve">культура, физическая культура и спорт – </w:t>
      </w:r>
      <w:r w:rsidRPr="00E01AB9">
        <w:t xml:space="preserve">на них направлено </w:t>
      </w:r>
      <w:r w:rsidR="00542852" w:rsidRPr="00E01AB9">
        <w:t>132</w:t>
      </w:r>
      <w:r w:rsidRPr="00E01AB9">
        <w:t xml:space="preserve"> мл</w:t>
      </w:r>
      <w:r w:rsidR="00FE722D" w:rsidRPr="00E01AB9">
        <w:t>рд</w:t>
      </w:r>
      <w:r w:rsidRPr="00E01AB9">
        <w:t>. рублей, или 6</w:t>
      </w:r>
      <w:r w:rsidR="00D913EE" w:rsidRPr="00E01AB9">
        <w:t>0</w:t>
      </w:r>
      <w:r w:rsidR="00542852" w:rsidRPr="00E01AB9">
        <w:t>,8</w:t>
      </w:r>
      <w:r w:rsidRPr="00E01AB9">
        <w:t>% от общего объема расходов.</w:t>
      </w:r>
    </w:p>
    <w:p w:rsidR="00942F52" w:rsidRPr="00E01AB9" w:rsidRDefault="00942F52" w:rsidP="00942F52">
      <w:pPr>
        <w:spacing w:line="348" w:lineRule="auto"/>
        <w:rPr>
          <w:spacing w:val="-4"/>
        </w:rPr>
      </w:pPr>
      <w:r w:rsidRPr="00E01AB9">
        <w:rPr>
          <w:spacing w:val="-4"/>
        </w:rPr>
        <w:t>Значительные средства направляются на поддержку социально-незащищенных слоев населения, семей, имеющих детей, и других категорий граждан.</w:t>
      </w:r>
    </w:p>
    <w:p w:rsidR="00942F52" w:rsidRPr="00E01AB9" w:rsidRDefault="00942F52" w:rsidP="00942F52">
      <w:pPr>
        <w:tabs>
          <w:tab w:val="left" w:pos="142"/>
        </w:tabs>
        <w:spacing w:line="360" w:lineRule="auto"/>
      </w:pPr>
      <w:r w:rsidRPr="00E01AB9">
        <w:t>В целях оказания мер социальной поддержки отдельным категориям граждан и выполнения публичных нормативных обязатель</w:t>
      </w:r>
      <w:proofErr w:type="gramStart"/>
      <w:r w:rsidRPr="00E01AB9">
        <w:t>ств пр</w:t>
      </w:r>
      <w:proofErr w:type="gramEnd"/>
      <w:r w:rsidRPr="00E01AB9">
        <w:t xml:space="preserve">оектом бюджета предусмотрено </w:t>
      </w:r>
      <w:r w:rsidR="0020232F" w:rsidRPr="00E01AB9">
        <w:t>31,8</w:t>
      </w:r>
      <w:r w:rsidRPr="00E01AB9">
        <w:t xml:space="preserve"> мл</w:t>
      </w:r>
      <w:r w:rsidR="00FE722D" w:rsidRPr="00E01AB9">
        <w:t>рд</w:t>
      </w:r>
      <w:r w:rsidRPr="00E01AB9">
        <w:t>. рублей.</w:t>
      </w:r>
    </w:p>
    <w:p w:rsidR="00FB4F4B" w:rsidRPr="00E01AB9" w:rsidRDefault="00C32A03" w:rsidP="00FB4F4B">
      <w:pPr>
        <w:tabs>
          <w:tab w:val="left" w:pos="142"/>
        </w:tabs>
        <w:spacing w:line="360" w:lineRule="auto"/>
      </w:pPr>
      <w:r w:rsidRPr="00E01AB9">
        <w:t xml:space="preserve">На фонд оплаты труда </w:t>
      </w:r>
      <w:r w:rsidR="004148A0" w:rsidRPr="00E01AB9">
        <w:t xml:space="preserve">запланировано направить более </w:t>
      </w:r>
      <w:r w:rsidR="0020232F" w:rsidRPr="00E01AB9">
        <w:t>46,5</w:t>
      </w:r>
      <w:r w:rsidR="004148A0" w:rsidRPr="00E01AB9">
        <w:t> </w:t>
      </w:r>
      <w:r w:rsidR="00FE722D" w:rsidRPr="00E01AB9">
        <w:t>млрд.</w:t>
      </w:r>
      <w:r w:rsidR="00FB4F4B" w:rsidRPr="00E01AB9">
        <w:t xml:space="preserve"> р</w:t>
      </w:r>
      <w:r w:rsidR="004148A0" w:rsidRPr="00E01AB9">
        <w:t xml:space="preserve">ублей. </w:t>
      </w:r>
    </w:p>
    <w:p w:rsidR="00D83E9A" w:rsidRDefault="00942F52" w:rsidP="00D83E9A">
      <w:pPr>
        <w:tabs>
          <w:tab w:val="left" w:pos="142"/>
        </w:tabs>
        <w:spacing w:line="360" w:lineRule="auto"/>
      </w:pPr>
      <w:r w:rsidRPr="00E01AB9">
        <w:t xml:space="preserve">В целом первоочередные расходы (публичные нормативные обязательства и меры социальной поддержки населения, фонд оплаты труда, иные приоритетные расходы) составили </w:t>
      </w:r>
      <w:r w:rsidR="00D913EE" w:rsidRPr="00E01AB9">
        <w:t>1</w:t>
      </w:r>
      <w:r w:rsidR="0020232F" w:rsidRPr="00E01AB9">
        <w:t>38,8</w:t>
      </w:r>
      <w:r w:rsidR="00FE722D" w:rsidRPr="00E01AB9">
        <w:t xml:space="preserve"> </w:t>
      </w:r>
      <w:proofErr w:type="spellStart"/>
      <w:r w:rsidR="00FE722D" w:rsidRPr="00E01AB9">
        <w:t>млрд</w:t>
      </w:r>
      <w:proofErr w:type="gramStart"/>
      <w:r w:rsidRPr="00E01AB9">
        <w:t>.р</w:t>
      </w:r>
      <w:proofErr w:type="gramEnd"/>
      <w:r w:rsidRPr="00E01AB9">
        <w:t>ублей</w:t>
      </w:r>
      <w:proofErr w:type="spellEnd"/>
      <w:r w:rsidR="00D83E9A">
        <w:t>.</w:t>
      </w:r>
      <w:r w:rsidRPr="00E01AB9">
        <w:t xml:space="preserve"> </w:t>
      </w:r>
    </w:p>
    <w:p w:rsidR="0032140F" w:rsidRPr="00E01AB9" w:rsidRDefault="0032140F" w:rsidP="00D83E9A">
      <w:pPr>
        <w:tabs>
          <w:tab w:val="left" w:pos="142"/>
        </w:tabs>
        <w:spacing w:line="360" w:lineRule="auto"/>
      </w:pPr>
      <w:bookmarkStart w:id="0" w:name="_GoBack"/>
      <w:bookmarkEnd w:id="0"/>
      <w:r w:rsidRPr="00E01AB9">
        <w:t>Расходы на обслуживание государственного долга запланированы в 202</w:t>
      </w:r>
      <w:r w:rsidR="0020232F" w:rsidRPr="00E01AB9">
        <w:t>3</w:t>
      </w:r>
      <w:r w:rsidRPr="00E01AB9">
        <w:t xml:space="preserve"> году в объеме </w:t>
      </w:r>
      <w:r w:rsidR="0020232F" w:rsidRPr="00E01AB9">
        <w:t>4,5</w:t>
      </w:r>
      <w:r w:rsidRPr="00E01AB9">
        <w:t xml:space="preserve"> млрд. рублей</w:t>
      </w:r>
      <w:r w:rsidR="0020232F" w:rsidRPr="00E01AB9">
        <w:t>.</w:t>
      </w:r>
    </w:p>
    <w:p w:rsidR="00942F52" w:rsidRPr="00E01AB9" w:rsidRDefault="00942F52" w:rsidP="00942F52">
      <w:pPr>
        <w:pStyle w:val="ConsPlusTitle"/>
        <w:tabs>
          <w:tab w:val="left" w:pos="-30"/>
        </w:tabs>
        <w:spacing w:line="360" w:lineRule="auto"/>
        <w:ind w:firstLine="709"/>
        <w:jc w:val="both"/>
        <w:rPr>
          <w:rFonts w:ascii="Times New Roman" w:hAnsi="Times New Roman"/>
          <w:b w:val="0"/>
          <w:sz w:val="28"/>
          <w:szCs w:val="28"/>
        </w:rPr>
      </w:pPr>
      <w:r w:rsidRPr="00E01AB9">
        <w:rPr>
          <w:rFonts w:ascii="Times New Roman" w:eastAsia="Times New Roman" w:hAnsi="Times New Roman"/>
          <w:b w:val="0"/>
          <w:sz w:val="28"/>
          <w:szCs w:val="28"/>
        </w:rPr>
        <w:t xml:space="preserve">Проектом областного бюджета предусмотрено финансирование               </w:t>
      </w:r>
      <w:r w:rsidR="002718A4" w:rsidRPr="00E01AB9">
        <w:rPr>
          <w:rFonts w:ascii="Times New Roman" w:eastAsia="Times New Roman" w:hAnsi="Times New Roman"/>
          <w:b w:val="0"/>
          <w:sz w:val="28"/>
          <w:szCs w:val="28"/>
        </w:rPr>
        <w:t>50</w:t>
      </w:r>
      <w:r w:rsidRPr="00E01AB9">
        <w:rPr>
          <w:rFonts w:ascii="Times New Roman" w:hAnsi="Times New Roman"/>
          <w:b w:val="0"/>
          <w:sz w:val="28"/>
          <w:szCs w:val="28"/>
        </w:rPr>
        <w:t xml:space="preserve"> государственных программ Самарской области и 3 ведомственных целевых программ. Объем программных расходов бюджета в 202</w:t>
      </w:r>
      <w:r w:rsidR="0020232F" w:rsidRPr="00E01AB9">
        <w:rPr>
          <w:rFonts w:ascii="Times New Roman" w:hAnsi="Times New Roman"/>
          <w:b w:val="0"/>
          <w:sz w:val="28"/>
          <w:szCs w:val="28"/>
        </w:rPr>
        <w:t>3</w:t>
      </w:r>
      <w:r w:rsidRPr="00E01AB9">
        <w:rPr>
          <w:rFonts w:ascii="Times New Roman" w:hAnsi="Times New Roman"/>
          <w:b w:val="0"/>
          <w:sz w:val="28"/>
          <w:szCs w:val="28"/>
        </w:rPr>
        <w:t xml:space="preserve"> году составит </w:t>
      </w:r>
      <w:r w:rsidR="0020232F" w:rsidRPr="00E01AB9">
        <w:rPr>
          <w:rFonts w:ascii="Times New Roman" w:hAnsi="Times New Roman"/>
          <w:b w:val="0"/>
          <w:sz w:val="28"/>
          <w:szCs w:val="28"/>
        </w:rPr>
        <w:t>201,7</w:t>
      </w:r>
      <w:r w:rsidR="00D913EE" w:rsidRPr="00E01AB9">
        <w:rPr>
          <w:rFonts w:ascii="Times New Roman" w:hAnsi="Times New Roman"/>
          <w:b w:val="0"/>
          <w:sz w:val="28"/>
          <w:szCs w:val="28"/>
        </w:rPr>
        <w:t xml:space="preserve"> </w:t>
      </w:r>
      <w:r w:rsidR="00FE722D" w:rsidRPr="00E01AB9">
        <w:rPr>
          <w:rFonts w:ascii="Times New Roman" w:hAnsi="Times New Roman"/>
          <w:b w:val="0"/>
          <w:sz w:val="28"/>
          <w:szCs w:val="28"/>
        </w:rPr>
        <w:t>млрд</w:t>
      </w:r>
      <w:r w:rsidRPr="00E01AB9">
        <w:rPr>
          <w:rFonts w:ascii="Times New Roman" w:hAnsi="Times New Roman"/>
          <w:b w:val="0"/>
          <w:sz w:val="28"/>
          <w:szCs w:val="28"/>
        </w:rPr>
        <w:t>.</w:t>
      </w:r>
      <w:r w:rsidR="00A21E91" w:rsidRPr="00E01AB9">
        <w:rPr>
          <w:rFonts w:ascii="Times New Roman" w:hAnsi="Times New Roman"/>
          <w:b w:val="0"/>
          <w:sz w:val="28"/>
          <w:szCs w:val="28"/>
        </w:rPr>
        <w:t xml:space="preserve"> </w:t>
      </w:r>
      <w:r w:rsidRPr="00E01AB9">
        <w:rPr>
          <w:rFonts w:ascii="Times New Roman" w:hAnsi="Times New Roman"/>
          <w:b w:val="0"/>
          <w:sz w:val="28"/>
          <w:szCs w:val="28"/>
        </w:rPr>
        <w:t xml:space="preserve">рублей, а их доля в общем объеме расходов бюджета достигнет </w:t>
      </w:r>
      <w:r w:rsidR="00ED74E8" w:rsidRPr="00E01AB9">
        <w:rPr>
          <w:rFonts w:ascii="Times New Roman" w:hAnsi="Times New Roman"/>
          <w:b w:val="0"/>
          <w:sz w:val="28"/>
          <w:szCs w:val="28"/>
        </w:rPr>
        <w:t>9</w:t>
      </w:r>
      <w:r w:rsidR="0020232F" w:rsidRPr="00E01AB9">
        <w:rPr>
          <w:rFonts w:ascii="Times New Roman" w:hAnsi="Times New Roman"/>
          <w:b w:val="0"/>
          <w:sz w:val="28"/>
          <w:szCs w:val="28"/>
        </w:rPr>
        <w:t>2</w:t>
      </w:r>
      <w:r w:rsidR="00ED74E8" w:rsidRPr="00E01AB9">
        <w:rPr>
          <w:rFonts w:ascii="Times New Roman" w:hAnsi="Times New Roman"/>
          <w:b w:val="0"/>
          <w:sz w:val="28"/>
          <w:szCs w:val="28"/>
        </w:rPr>
        <w:t>,</w:t>
      </w:r>
      <w:r w:rsidR="0020232F" w:rsidRPr="00E01AB9">
        <w:rPr>
          <w:rFonts w:ascii="Times New Roman" w:hAnsi="Times New Roman"/>
          <w:b w:val="0"/>
          <w:sz w:val="28"/>
          <w:szCs w:val="28"/>
        </w:rPr>
        <w:t>9</w:t>
      </w:r>
      <w:r w:rsidRPr="00E01AB9">
        <w:rPr>
          <w:rFonts w:ascii="Times New Roman" w:hAnsi="Times New Roman"/>
          <w:b w:val="0"/>
          <w:sz w:val="28"/>
          <w:szCs w:val="28"/>
        </w:rPr>
        <w:t>%.</w:t>
      </w:r>
    </w:p>
    <w:p w:rsidR="0044387C" w:rsidRPr="00E01AB9" w:rsidRDefault="0044387C" w:rsidP="0044387C">
      <w:pPr>
        <w:spacing w:line="360" w:lineRule="auto"/>
      </w:pPr>
      <w:r w:rsidRPr="00E01AB9">
        <w:t>Проектом областного бюджета предусмотрено оказание финансовой поддержки бюджетам муниципальных образований Самарской области.</w:t>
      </w:r>
    </w:p>
    <w:p w:rsidR="0044387C" w:rsidRPr="00E01AB9" w:rsidRDefault="0044387C" w:rsidP="0044387C">
      <w:pPr>
        <w:spacing w:line="360" w:lineRule="auto"/>
        <w:ind w:firstLine="720"/>
      </w:pPr>
      <w:proofErr w:type="gramStart"/>
      <w:r w:rsidRPr="00E01AB9">
        <w:t>Проектом предлагается в 2023 году впервые за последние 18 лет существенно увеличить объем дотаций на выравнивание бюджетной обеспеченности муниципальных районов (городских округов, городских округов с внутригородским делением).</w:t>
      </w:r>
      <w:proofErr w:type="gramEnd"/>
      <w:r w:rsidRPr="00E01AB9">
        <w:t xml:space="preserve"> На указанное направление расходов областного бюджета предлагается предусмотреть 2 860 млн. рублей (на 1 млрд. рублей больше чем в 2022 году). В условиях неравномерности распределения налоговой базы среди муниципальных образований дотации на выравнивание бюджетной обеспеченности, распределение которых осуществляется в соответствии с единой методикой для всех муниципальных районов (городских округов, городских округов с внутригородским делением), представляются наиболее эффективным механизмом финансовой поддержки и регулирования финансовых диспропорций муниципальных образований.</w:t>
      </w:r>
    </w:p>
    <w:p w:rsidR="0044387C" w:rsidRPr="00E01AB9" w:rsidRDefault="0044387C" w:rsidP="0044387C">
      <w:pPr>
        <w:spacing w:line="360" w:lineRule="auto"/>
        <w:ind w:firstLine="720"/>
      </w:pPr>
      <w:r w:rsidRPr="00E01AB9">
        <w:t xml:space="preserve">Объём дотаций на выравнивание бюджетной обеспеченности, предусмотренный на 2023 год, по прогнозу позволит сократить разрыв среднего уровня расчётной бюджетной обеспеченности между 5 наиболее обеспеченными городскими округами (муниципальными районами) и </w:t>
      </w:r>
      <w:r w:rsidRPr="00E01AB9">
        <w:br/>
        <w:t xml:space="preserve">5 наименее обеспеченными городскими округами (муниципальными районами): </w:t>
      </w:r>
    </w:p>
    <w:p w:rsidR="0044387C" w:rsidRPr="00E01AB9" w:rsidRDefault="0044387C" w:rsidP="0044387C">
      <w:pPr>
        <w:spacing w:line="360" w:lineRule="auto"/>
      </w:pPr>
      <w:r w:rsidRPr="00E01AB9">
        <w:t>для городских округов – с 91,1% до 22,1%;</w:t>
      </w:r>
    </w:p>
    <w:p w:rsidR="0044387C" w:rsidRPr="00E01AB9" w:rsidRDefault="0044387C" w:rsidP="0044387C">
      <w:pPr>
        <w:spacing w:line="360" w:lineRule="auto"/>
      </w:pPr>
      <w:r w:rsidRPr="00E01AB9">
        <w:t>для муниципальных районов – со 100,0% до 11,9%.</w:t>
      </w:r>
    </w:p>
    <w:p w:rsidR="0044387C" w:rsidRPr="00E01AB9" w:rsidRDefault="0044387C" w:rsidP="0044387C">
      <w:pPr>
        <w:spacing w:line="360" w:lineRule="auto"/>
        <w:ind w:firstLine="720"/>
      </w:pPr>
      <w:r w:rsidRPr="00E01AB9">
        <w:t>На плановый период проектом областного бюджета ежегодно предусмотрены дотации на выравнивание бюджетной обеспеченности муниципальных районов (городских округов, городских округов с внутригородским делением) в объеме 860 млн. рублей. При этом часть дотаций в 2024–2025 годах в объеме 2 000 млн. рублей дополнительно отнесена к условно утвержденным расходам областного бюджета.</w:t>
      </w:r>
    </w:p>
    <w:p w:rsidR="0044387C" w:rsidRPr="00E01AB9" w:rsidRDefault="0044387C" w:rsidP="0044387C">
      <w:pPr>
        <w:widowControl w:val="0"/>
        <w:spacing w:line="360" w:lineRule="auto"/>
        <w:rPr>
          <w:rFonts w:eastAsiaTheme="minorHAnsi"/>
          <w:lang w:eastAsia="en-US"/>
        </w:rPr>
      </w:pPr>
      <w:r w:rsidRPr="00E01AB9">
        <w:rPr>
          <w:spacing w:val="-2"/>
        </w:rPr>
        <w:t xml:space="preserve">Также проектом бюджета предусмотрены субвенции бюджетам муниципальных районов (городских округов с внутригородским делением) </w:t>
      </w:r>
      <w:r w:rsidRPr="00E01AB9">
        <w:rPr>
          <w:rFonts w:eastAsiaTheme="minorHAnsi"/>
          <w:lang w:eastAsia="en-US"/>
        </w:rPr>
        <w:t>на выполнение переданных полномочий по расчету и предоставлению дотаций на выравнивание бюджетной обеспеченности поселений</w:t>
      </w:r>
      <w:r w:rsidRPr="00E01AB9">
        <w:rPr>
          <w:spacing w:val="-2"/>
        </w:rPr>
        <w:t xml:space="preserve"> (внутригородских районов), объем которых в 2023–2025 годах составит 52 млн. рублей ежегодно.</w:t>
      </w:r>
    </w:p>
    <w:p w:rsidR="0044387C" w:rsidRPr="00E01AB9" w:rsidRDefault="0044387C" w:rsidP="0044387C">
      <w:pPr>
        <w:autoSpaceDE w:val="0"/>
        <w:autoSpaceDN w:val="0"/>
        <w:adjustRightInd w:val="0"/>
        <w:spacing w:line="360" w:lineRule="auto"/>
        <w:ind w:firstLine="720"/>
        <w:rPr>
          <w:spacing w:val="-2"/>
        </w:rPr>
      </w:pPr>
      <w:proofErr w:type="gramStart"/>
      <w:r w:rsidRPr="00E01AB9">
        <w:rPr>
          <w:spacing w:val="-2"/>
        </w:rPr>
        <w:t>В целях стимулирования ускорения социально-экономического развития и поощрения достижения наилучших показателей социально-экономического развития муниципальных образований Самарской области областным бюджетом предусмотрены дотации местным бюджетам на поддержку мер по обеспечению сбалансированности местных бюджетов (стимулирующие дотации) в размерах: на 2023 год – 3 389 млн. рублей, на 2024 год – 3 432 млн. рублей, на 2025 год – 3 414 млн. рублей.</w:t>
      </w:r>
      <w:proofErr w:type="gramEnd"/>
      <w:r w:rsidRPr="00E01AB9">
        <w:rPr>
          <w:spacing w:val="-2"/>
        </w:rPr>
        <w:t xml:space="preserve"> Традиционно большая часть из этих средств запланирована в целях частичного покрытия расходов местных бюджетов, направляемых на повышение средней заработной платы работникам муниципальных учреждений культуры и педагогическим работникам муниципальных учреждений дополнительного образования в соответствии с Указами Президента Российской Федерации от 07.05.2012 </w:t>
      </w:r>
      <w:r w:rsidRPr="00E01AB9">
        <w:rPr>
          <w:spacing w:val="-2"/>
        </w:rPr>
        <w:br/>
        <w:t>№ 597 и от 01.06.2012 № 761.</w:t>
      </w:r>
    </w:p>
    <w:p w:rsidR="0044387C" w:rsidRPr="00E01AB9" w:rsidRDefault="0044387C" w:rsidP="0044387C">
      <w:pPr>
        <w:autoSpaceDE w:val="0"/>
        <w:autoSpaceDN w:val="0"/>
        <w:adjustRightInd w:val="0"/>
        <w:spacing w:line="360" w:lineRule="auto"/>
        <w:ind w:firstLine="720"/>
        <w:rPr>
          <w:spacing w:val="-2"/>
        </w:rPr>
      </w:pPr>
      <w:r w:rsidRPr="00E01AB9">
        <w:rPr>
          <w:spacing w:val="-2"/>
        </w:rPr>
        <w:t>Кроме того, в целях дополнительной финансовой поддержки муниципальных образований Самарской области законопроектом предусмотрены иные дотации на 2023–2025 годы в сумме 451 млн. рублей ежегодно, в том числе на стимулирование повышения качества управления муниципальными финансами, стимулирование развития налогового потенциала территорий муниципальных образований Самарской области, стимулирование предоставления государственных услуг через МФЦ.</w:t>
      </w:r>
    </w:p>
    <w:p w:rsidR="00942F52" w:rsidRPr="00E01AB9" w:rsidRDefault="00942F52" w:rsidP="00942F52">
      <w:pPr>
        <w:autoSpaceDE w:val="0"/>
        <w:autoSpaceDN w:val="0"/>
        <w:adjustRightInd w:val="0"/>
        <w:spacing w:line="360" w:lineRule="auto"/>
        <w:outlineLvl w:val="2"/>
      </w:pPr>
      <w:r w:rsidRPr="00E01AB9">
        <w:t xml:space="preserve">По результатам проведения антикоррупционной экспертизы разработанного законопроекта </w:t>
      </w:r>
      <w:proofErr w:type="spellStart"/>
      <w:r w:rsidRPr="00E01AB9">
        <w:t>коррупциогенных</w:t>
      </w:r>
      <w:proofErr w:type="spellEnd"/>
      <w:r w:rsidRPr="00E01AB9">
        <w:t xml:space="preserve"> факторов не выявлено. </w:t>
      </w:r>
    </w:p>
    <w:p w:rsidR="00942F52" w:rsidRPr="00E01AB9" w:rsidRDefault="00942F52" w:rsidP="00942F52">
      <w:pPr>
        <w:autoSpaceDE w:val="0"/>
        <w:autoSpaceDN w:val="0"/>
        <w:adjustRightInd w:val="0"/>
        <w:spacing w:line="360" w:lineRule="auto"/>
        <w:ind w:firstLine="720"/>
      </w:pPr>
    </w:p>
    <w:p w:rsidR="00942F52" w:rsidRPr="00E01AB9" w:rsidRDefault="00942F52" w:rsidP="00942F52">
      <w:pPr>
        <w:autoSpaceDE w:val="0"/>
        <w:autoSpaceDN w:val="0"/>
        <w:adjustRightInd w:val="0"/>
        <w:spacing w:line="360" w:lineRule="auto"/>
        <w:ind w:firstLine="720"/>
      </w:pPr>
    </w:p>
    <w:tbl>
      <w:tblPr>
        <w:tblW w:w="0" w:type="auto"/>
        <w:tblLook w:val="04A0" w:firstRow="1" w:lastRow="0" w:firstColumn="1" w:lastColumn="0" w:noHBand="0" w:noVBand="1"/>
      </w:tblPr>
      <w:tblGrid>
        <w:gridCol w:w="4784"/>
        <w:gridCol w:w="4786"/>
      </w:tblGrid>
      <w:tr w:rsidR="00942F52" w:rsidRPr="00D913EE" w:rsidTr="00D913EE">
        <w:tc>
          <w:tcPr>
            <w:tcW w:w="4784" w:type="dxa"/>
            <w:shd w:val="clear" w:color="auto" w:fill="auto"/>
            <w:hideMark/>
          </w:tcPr>
          <w:p w:rsidR="00942F52" w:rsidRPr="00E01AB9" w:rsidRDefault="00942F52" w:rsidP="00D913EE">
            <w:pPr>
              <w:spacing w:line="240" w:lineRule="auto"/>
              <w:ind w:right="-109" w:firstLine="0"/>
              <w:contextualSpacing/>
              <w:jc w:val="center"/>
            </w:pPr>
          </w:p>
          <w:p w:rsidR="00942F52" w:rsidRPr="00E01AB9" w:rsidRDefault="00942F52" w:rsidP="00D913EE">
            <w:pPr>
              <w:spacing w:line="240" w:lineRule="auto"/>
              <w:ind w:right="-109" w:firstLine="0"/>
              <w:contextualSpacing/>
              <w:jc w:val="center"/>
            </w:pPr>
            <w:r w:rsidRPr="00E01AB9">
              <w:t xml:space="preserve">Министр </w:t>
            </w:r>
          </w:p>
          <w:p w:rsidR="00942F52" w:rsidRPr="00E01AB9" w:rsidRDefault="00942F52" w:rsidP="00D913EE">
            <w:pPr>
              <w:spacing w:line="240" w:lineRule="auto"/>
              <w:ind w:right="-109" w:firstLine="0"/>
              <w:contextualSpacing/>
              <w:jc w:val="center"/>
            </w:pPr>
            <w:r w:rsidRPr="00E01AB9">
              <w:t>управления финансами</w:t>
            </w:r>
          </w:p>
          <w:p w:rsidR="00942F52" w:rsidRPr="00E01AB9" w:rsidRDefault="00942F52" w:rsidP="00D913EE">
            <w:pPr>
              <w:spacing w:line="240" w:lineRule="auto"/>
              <w:ind w:right="-109" w:firstLine="0"/>
              <w:contextualSpacing/>
              <w:jc w:val="center"/>
            </w:pPr>
            <w:r w:rsidRPr="00E01AB9">
              <w:t>Самарской области</w:t>
            </w:r>
          </w:p>
        </w:tc>
        <w:tc>
          <w:tcPr>
            <w:tcW w:w="4786" w:type="dxa"/>
            <w:shd w:val="clear" w:color="auto" w:fill="auto"/>
          </w:tcPr>
          <w:p w:rsidR="00942F52" w:rsidRPr="00E01AB9" w:rsidRDefault="00942F52" w:rsidP="00D913EE">
            <w:pPr>
              <w:spacing w:line="240" w:lineRule="auto"/>
              <w:contextualSpacing/>
              <w:jc w:val="center"/>
            </w:pPr>
          </w:p>
          <w:p w:rsidR="00942F52" w:rsidRPr="00E01AB9" w:rsidRDefault="00942F52" w:rsidP="00D913EE">
            <w:pPr>
              <w:spacing w:line="240" w:lineRule="auto"/>
              <w:contextualSpacing/>
              <w:jc w:val="center"/>
            </w:pPr>
          </w:p>
          <w:p w:rsidR="00942F52" w:rsidRPr="00E01AB9" w:rsidRDefault="00942F52" w:rsidP="00D913EE">
            <w:pPr>
              <w:spacing w:line="240" w:lineRule="auto"/>
              <w:contextualSpacing/>
              <w:jc w:val="right"/>
            </w:pPr>
          </w:p>
          <w:p w:rsidR="00942F52" w:rsidRPr="00D913EE" w:rsidRDefault="00942F52" w:rsidP="00D913EE">
            <w:pPr>
              <w:spacing w:line="240" w:lineRule="auto"/>
              <w:contextualSpacing/>
              <w:jc w:val="right"/>
            </w:pPr>
            <w:proofErr w:type="spellStart"/>
            <w:r w:rsidRPr="00E01AB9">
              <w:t>А.В.Прямилов</w:t>
            </w:r>
            <w:proofErr w:type="spellEnd"/>
          </w:p>
        </w:tc>
      </w:tr>
    </w:tbl>
    <w:p w:rsidR="00942F52" w:rsidRPr="00D913EE" w:rsidRDefault="00942F52" w:rsidP="00942F52">
      <w:pPr>
        <w:pStyle w:val="ad"/>
        <w:spacing w:line="360" w:lineRule="auto"/>
      </w:pPr>
    </w:p>
    <w:p w:rsidR="00DA4980" w:rsidRPr="00D913EE" w:rsidRDefault="00DA4980" w:rsidP="00942F52"/>
    <w:p w:rsidR="00D913EE" w:rsidRPr="00D913EE" w:rsidRDefault="00D913EE"/>
    <w:sectPr w:rsidR="00D913EE" w:rsidRPr="00D913EE" w:rsidSect="002D170D">
      <w:headerReference w:type="even" r:id="rId9"/>
      <w:headerReference w:type="default" r:id="rId10"/>
      <w:headerReference w:type="first" r:id="rId11"/>
      <w:footnotePr>
        <w:numFmt w:val="chicago"/>
      </w:footnotePr>
      <w:pgSz w:w="11906" w:h="16838"/>
      <w:pgMar w:top="709" w:right="1134" w:bottom="993"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8A4" w:rsidRDefault="002718A4" w:rsidP="00A76968">
      <w:pPr>
        <w:spacing w:line="240" w:lineRule="auto"/>
      </w:pPr>
      <w:r>
        <w:separator/>
      </w:r>
    </w:p>
  </w:endnote>
  <w:endnote w:type="continuationSeparator" w:id="0">
    <w:p w:rsidR="002718A4" w:rsidRDefault="002718A4" w:rsidP="00A769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8A4" w:rsidRDefault="002718A4" w:rsidP="00A76968">
      <w:pPr>
        <w:spacing w:line="240" w:lineRule="auto"/>
      </w:pPr>
      <w:r>
        <w:separator/>
      </w:r>
    </w:p>
  </w:footnote>
  <w:footnote w:type="continuationSeparator" w:id="0">
    <w:p w:rsidR="002718A4" w:rsidRDefault="002718A4" w:rsidP="00A769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8A4" w:rsidRDefault="00B745C9" w:rsidP="00BB7DBB">
    <w:pPr>
      <w:pStyle w:val="a3"/>
      <w:framePr w:wrap="auto" w:vAnchor="text" w:hAnchor="margin" w:xAlign="center" w:y="1"/>
      <w:rPr>
        <w:rStyle w:val="ac"/>
      </w:rPr>
    </w:pPr>
    <w:r>
      <w:rPr>
        <w:rStyle w:val="ac"/>
      </w:rPr>
      <w:fldChar w:fldCharType="begin"/>
    </w:r>
    <w:r w:rsidR="002718A4">
      <w:rPr>
        <w:rStyle w:val="ac"/>
      </w:rPr>
      <w:instrText xml:space="preserve">PAGE  </w:instrText>
    </w:r>
    <w:r>
      <w:rPr>
        <w:rStyle w:val="ac"/>
      </w:rPr>
      <w:fldChar w:fldCharType="end"/>
    </w:r>
  </w:p>
  <w:p w:rsidR="002718A4" w:rsidRDefault="002718A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8A4" w:rsidRPr="008A46F6" w:rsidRDefault="00B745C9" w:rsidP="008A46F6">
    <w:pPr>
      <w:pStyle w:val="a3"/>
      <w:framePr w:wrap="auto" w:vAnchor="text" w:hAnchor="page" w:x="5611" w:y="-189"/>
      <w:rPr>
        <w:rStyle w:val="ac"/>
        <w:sz w:val="24"/>
        <w:szCs w:val="24"/>
      </w:rPr>
    </w:pPr>
    <w:r w:rsidRPr="008A46F6">
      <w:rPr>
        <w:rStyle w:val="ac"/>
        <w:sz w:val="24"/>
        <w:szCs w:val="24"/>
      </w:rPr>
      <w:fldChar w:fldCharType="begin"/>
    </w:r>
    <w:r w:rsidR="002718A4" w:rsidRPr="008A46F6">
      <w:rPr>
        <w:rStyle w:val="ac"/>
        <w:sz w:val="24"/>
        <w:szCs w:val="24"/>
      </w:rPr>
      <w:instrText xml:space="preserve">PAGE  </w:instrText>
    </w:r>
    <w:r w:rsidRPr="008A46F6">
      <w:rPr>
        <w:rStyle w:val="ac"/>
        <w:sz w:val="24"/>
        <w:szCs w:val="24"/>
      </w:rPr>
      <w:fldChar w:fldCharType="separate"/>
    </w:r>
    <w:r w:rsidR="00D83E9A">
      <w:rPr>
        <w:rStyle w:val="ac"/>
        <w:noProof/>
        <w:sz w:val="24"/>
        <w:szCs w:val="24"/>
      </w:rPr>
      <w:t>6</w:t>
    </w:r>
    <w:r w:rsidRPr="008A46F6">
      <w:rPr>
        <w:rStyle w:val="ac"/>
        <w:sz w:val="24"/>
        <w:szCs w:val="24"/>
      </w:rPr>
      <w:fldChar w:fldCharType="end"/>
    </w:r>
  </w:p>
  <w:p w:rsidR="002718A4" w:rsidRDefault="002718A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8A4" w:rsidRDefault="002718A4" w:rsidP="00353E94">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7B73065"/>
    <w:multiLevelType w:val="hybridMultilevel"/>
    <w:tmpl w:val="B51A30D8"/>
    <w:lvl w:ilvl="0" w:tplc="CA8846E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2"/>
  </w:compat>
  <w:rsids>
    <w:rsidRoot w:val="00043BEF"/>
    <w:rsid w:val="0000138F"/>
    <w:rsid w:val="0000256F"/>
    <w:rsid w:val="00006DED"/>
    <w:rsid w:val="00013104"/>
    <w:rsid w:val="00014C9A"/>
    <w:rsid w:val="00015AF3"/>
    <w:rsid w:val="0001600C"/>
    <w:rsid w:val="00020D90"/>
    <w:rsid w:val="00026292"/>
    <w:rsid w:val="00026B30"/>
    <w:rsid w:val="00026DEB"/>
    <w:rsid w:val="000276AB"/>
    <w:rsid w:val="00031A7A"/>
    <w:rsid w:val="00034604"/>
    <w:rsid w:val="000353D0"/>
    <w:rsid w:val="00036531"/>
    <w:rsid w:val="00041C10"/>
    <w:rsid w:val="00043BEF"/>
    <w:rsid w:val="00050E93"/>
    <w:rsid w:val="00056AD5"/>
    <w:rsid w:val="00056DCE"/>
    <w:rsid w:val="0006097A"/>
    <w:rsid w:val="0006593D"/>
    <w:rsid w:val="00066A80"/>
    <w:rsid w:val="000746DE"/>
    <w:rsid w:val="000843BB"/>
    <w:rsid w:val="000944D0"/>
    <w:rsid w:val="000A057E"/>
    <w:rsid w:val="000A4A5A"/>
    <w:rsid w:val="000A5876"/>
    <w:rsid w:val="000B1F6D"/>
    <w:rsid w:val="000B3F61"/>
    <w:rsid w:val="000B7BA9"/>
    <w:rsid w:val="000C0C56"/>
    <w:rsid w:val="000C2579"/>
    <w:rsid w:val="000C5C4D"/>
    <w:rsid w:val="000D0934"/>
    <w:rsid w:val="000D2363"/>
    <w:rsid w:val="000D41BE"/>
    <w:rsid w:val="000D4C02"/>
    <w:rsid w:val="000D4DB9"/>
    <w:rsid w:val="000E3B19"/>
    <w:rsid w:val="000E604C"/>
    <w:rsid w:val="000E70F9"/>
    <w:rsid w:val="000F4486"/>
    <w:rsid w:val="000F5BFD"/>
    <w:rsid w:val="000F6000"/>
    <w:rsid w:val="000F757D"/>
    <w:rsid w:val="00103625"/>
    <w:rsid w:val="00103B9C"/>
    <w:rsid w:val="00105D80"/>
    <w:rsid w:val="00110B00"/>
    <w:rsid w:val="001117A9"/>
    <w:rsid w:val="001117AE"/>
    <w:rsid w:val="00111AFE"/>
    <w:rsid w:val="00113011"/>
    <w:rsid w:val="00113952"/>
    <w:rsid w:val="00114EE9"/>
    <w:rsid w:val="00116858"/>
    <w:rsid w:val="00116AA6"/>
    <w:rsid w:val="00117F7C"/>
    <w:rsid w:val="00120AD2"/>
    <w:rsid w:val="00123AB7"/>
    <w:rsid w:val="00125DFF"/>
    <w:rsid w:val="00125F55"/>
    <w:rsid w:val="00126E52"/>
    <w:rsid w:val="00127180"/>
    <w:rsid w:val="00131F17"/>
    <w:rsid w:val="00132204"/>
    <w:rsid w:val="001344BF"/>
    <w:rsid w:val="00135A35"/>
    <w:rsid w:val="001362C6"/>
    <w:rsid w:val="001436B1"/>
    <w:rsid w:val="00145BAC"/>
    <w:rsid w:val="00147F11"/>
    <w:rsid w:val="001503A0"/>
    <w:rsid w:val="00152400"/>
    <w:rsid w:val="00153080"/>
    <w:rsid w:val="001554BB"/>
    <w:rsid w:val="001578D4"/>
    <w:rsid w:val="00157DE6"/>
    <w:rsid w:val="0016006C"/>
    <w:rsid w:val="0016262E"/>
    <w:rsid w:val="00167B68"/>
    <w:rsid w:val="001718DC"/>
    <w:rsid w:val="001767F4"/>
    <w:rsid w:val="00181943"/>
    <w:rsid w:val="00182831"/>
    <w:rsid w:val="00182E27"/>
    <w:rsid w:val="001857BD"/>
    <w:rsid w:val="001878B4"/>
    <w:rsid w:val="00187A45"/>
    <w:rsid w:val="0019241A"/>
    <w:rsid w:val="001938CD"/>
    <w:rsid w:val="001940A0"/>
    <w:rsid w:val="001A0C4F"/>
    <w:rsid w:val="001A1CC7"/>
    <w:rsid w:val="001A6972"/>
    <w:rsid w:val="001A6BF3"/>
    <w:rsid w:val="001B0D27"/>
    <w:rsid w:val="001B16E0"/>
    <w:rsid w:val="001C0CCD"/>
    <w:rsid w:val="001C6B51"/>
    <w:rsid w:val="001D019B"/>
    <w:rsid w:val="001D019D"/>
    <w:rsid w:val="001D3D6C"/>
    <w:rsid w:val="001D3F4C"/>
    <w:rsid w:val="001D5722"/>
    <w:rsid w:val="001D74AD"/>
    <w:rsid w:val="001D7A6A"/>
    <w:rsid w:val="001E0764"/>
    <w:rsid w:val="001E122C"/>
    <w:rsid w:val="001E39D8"/>
    <w:rsid w:val="001E4F17"/>
    <w:rsid w:val="001E6FE2"/>
    <w:rsid w:val="001F3476"/>
    <w:rsid w:val="001F3DB6"/>
    <w:rsid w:val="001F7021"/>
    <w:rsid w:val="0020232F"/>
    <w:rsid w:val="00202A2D"/>
    <w:rsid w:val="00202A38"/>
    <w:rsid w:val="00202C41"/>
    <w:rsid w:val="00203121"/>
    <w:rsid w:val="00203AEA"/>
    <w:rsid w:val="00203EAE"/>
    <w:rsid w:val="00206D01"/>
    <w:rsid w:val="00207A22"/>
    <w:rsid w:val="002142FF"/>
    <w:rsid w:val="002146FE"/>
    <w:rsid w:val="002179B4"/>
    <w:rsid w:val="00223D88"/>
    <w:rsid w:val="002254FE"/>
    <w:rsid w:val="00227A1A"/>
    <w:rsid w:val="0023049A"/>
    <w:rsid w:val="00232EEC"/>
    <w:rsid w:val="00241BB5"/>
    <w:rsid w:val="00241E23"/>
    <w:rsid w:val="00241F70"/>
    <w:rsid w:val="00242853"/>
    <w:rsid w:val="002451FC"/>
    <w:rsid w:val="002456EA"/>
    <w:rsid w:val="00246211"/>
    <w:rsid w:val="00247616"/>
    <w:rsid w:val="0025121F"/>
    <w:rsid w:val="00252A04"/>
    <w:rsid w:val="00253C2C"/>
    <w:rsid w:val="00254983"/>
    <w:rsid w:val="00255D14"/>
    <w:rsid w:val="00256247"/>
    <w:rsid w:val="0025790F"/>
    <w:rsid w:val="00260C35"/>
    <w:rsid w:val="002619CE"/>
    <w:rsid w:val="00263C1A"/>
    <w:rsid w:val="002643B2"/>
    <w:rsid w:val="00264666"/>
    <w:rsid w:val="0026777F"/>
    <w:rsid w:val="002718A4"/>
    <w:rsid w:val="00274550"/>
    <w:rsid w:val="002805C7"/>
    <w:rsid w:val="00283BE9"/>
    <w:rsid w:val="00285CCC"/>
    <w:rsid w:val="0028779A"/>
    <w:rsid w:val="00290BFE"/>
    <w:rsid w:val="0029187B"/>
    <w:rsid w:val="00295B91"/>
    <w:rsid w:val="00295ECF"/>
    <w:rsid w:val="00295ED8"/>
    <w:rsid w:val="00296668"/>
    <w:rsid w:val="00297579"/>
    <w:rsid w:val="002A1F41"/>
    <w:rsid w:val="002A37C2"/>
    <w:rsid w:val="002A7396"/>
    <w:rsid w:val="002B0E42"/>
    <w:rsid w:val="002B1B74"/>
    <w:rsid w:val="002B2583"/>
    <w:rsid w:val="002B48E0"/>
    <w:rsid w:val="002C1DDF"/>
    <w:rsid w:val="002C1DF7"/>
    <w:rsid w:val="002C7764"/>
    <w:rsid w:val="002D170D"/>
    <w:rsid w:val="002D436F"/>
    <w:rsid w:val="002D460B"/>
    <w:rsid w:val="002D5E1B"/>
    <w:rsid w:val="002D6B24"/>
    <w:rsid w:val="002E5AC0"/>
    <w:rsid w:val="002E74EC"/>
    <w:rsid w:val="002F11FB"/>
    <w:rsid w:val="002F6A7D"/>
    <w:rsid w:val="002F7376"/>
    <w:rsid w:val="00304F12"/>
    <w:rsid w:val="0031080E"/>
    <w:rsid w:val="0031349F"/>
    <w:rsid w:val="00314AC6"/>
    <w:rsid w:val="0032140F"/>
    <w:rsid w:val="003245F9"/>
    <w:rsid w:val="00326715"/>
    <w:rsid w:val="00330088"/>
    <w:rsid w:val="00332F0A"/>
    <w:rsid w:val="00344AEB"/>
    <w:rsid w:val="003450F1"/>
    <w:rsid w:val="0034663C"/>
    <w:rsid w:val="00350B33"/>
    <w:rsid w:val="00350CD5"/>
    <w:rsid w:val="00353E94"/>
    <w:rsid w:val="00363332"/>
    <w:rsid w:val="00363F14"/>
    <w:rsid w:val="00364E8A"/>
    <w:rsid w:val="00366D80"/>
    <w:rsid w:val="0037154A"/>
    <w:rsid w:val="00382D84"/>
    <w:rsid w:val="003868E6"/>
    <w:rsid w:val="00386ACE"/>
    <w:rsid w:val="00387258"/>
    <w:rsid w:val="00392300"/>
    <w:rsid w:val="00393BB9"/>
    <w:rsid w:val="00396509"/>
    <w:rsid w:val="00396F4B"/>
    <w:rsid w:val="003A1A2B"/>
    <w:rsid w:val="003A2208"/>
    <w:rsid w:val="003A3643"/>
    <w:rsid w:val="003A43F7"/>
    <w:rsid w:val="003A4837"/>
    <w:rsid w:val="003A7142"/>
    <w:rsid w:val="003A7831"/>
    <w:rsid w:val="003B2321"/>
    <w:rsid w:val="003B38E1"/>
    <w:rsid w:val="003B6FB9"/>
    <w:rsid w:val="003C15C5"/>
    <w:rsid w:val="003C6A55"/>
    <w:rsid w:val="003D050B"/>
    <w:rsid w:val="003D0DF3"/>
    <w:rsid w:val="003D40CE"/>
    <w:rsid w:val="003D42D6"/>
    <w:rsid w:val="003D5D23"/>
    <w:rsid w:val="003D5F8C"/>
    <w:rsid w:val="003E6FD9"/>
    <w:rsid w:val="003F2B04"/>
    <w:rsid w:val="003F5C18"/>
    <w:rsid w:val="003F772C"/>
    <w:rsid w:val="00400217"/>
    <w:rsid w:val="00403240"/>
    <w:rsid w:val="00403A73"/>
    <w:rsid w:val="0040466C"/>
    <w:rsid w:val="0040468D"/>
    <w:rsid w:val="00405B11"/>
    <w:rsid w:val="00406EC0"/>
    <w:rsid w:val="004070A6"/>
    <w:rsid w:val="00410B0E"/>
    <w:rsid w:val="00412337"/>
    <w:rsid w:val="004148A0"/>
    <w:rsid w:val="004218BA"/>
    <w:rsid w:val="0042285A"/>
    <w:rsid w:val="00425657"/>
    <w:rsid w:val="0042704D"/>
    <w:rsid w:val="00427286"/>
    <w:rsid w:val="00432039"/>
    <w:rsid w:val="00432B6D"/>
    <w:rsid w:val="0043776B"/>
    <w:rsid w:val="0044107D"/>
    <w:rsid w:val="0044387C"/>
    <w:rsid w:val="00444FF5"/>
    <w:rsid w:val="0044743C"/>
    <w:rsid w:val="00453E2B"/>
    <w:rsid w:val="00456B0A"/>
    <w:rsid w:val="00460175"/>
    <w:rsid w:val="00463A46"/>
    <w:rsid w:val="004655C5"/>
    <w:rsid w:val="00465AA3"/>
    <w:rsid w:val="00465C7D"/>
    <w:rsid w:val="00472434"/>
    <w:rsid w:val="00475CF6"/>
    <w:rsid w:val="004762C5"/>
    <w:rsid w:val="004770E5"/>
    <w:rsid w:val="00481593"/>
    <w:rsid w:val="00481BFD"/>
    <w:rsid w:val="004827A1"/>
    <w:rsid w:val="00485AC0"/>
    <w:rsid w:val="004870C9"/>
    <w:rsid w:val="00487521"/>
    <w:rsid w:val="0049050B"/>
    <w:rsid w:val="00493476"/>
    <w:rsid w:val="00493EEC"/>
    <w:rsid w:val="004966FC"/>
    <w:rsid w:val="0049686E"/>
    <w:rsid w:val="004968B2"/>
    <w:rsid w:val="004A105D"/>
    <w:rsid w:val="004A15FD"/>
    <w:rsid w:val="004A3FBD"/>
    <w:rsid w:val="004A4749"/>
    <w:rsid w:val="004A4EFE"/>
    <w:rsid w:val="004B2617"/>
    <w:rsid w:val="004B647A"/>
    <w:rsid w:val="004C365B"/>
    <w:rsid w:val="004C4F87"/>
    <w:rsid w:val="004C5E72"/>
    <w:rsid w:val="004C6EFF"/>
    <w:rsid w:val="004D0AA3"/>
    <w:rsid w:val="004D2177"/>
    <w:rsid w:val="004D4B18"/>
    <w:rsid w:val="004D4BFB"/>
    <w:rsid w:val="004D59E3"/>
    <w:rsid w:val="004E03EA"/>
    <w:rsid w:val="004F3FAD"/>
    <w:rsid w:val="004F5A0D"/>
    <w:rsid w:val="00500F62"/>
    <w:rsid w:val="0050226F"/>
    <w:rsid w:val="0050241D"/>
    <w:rsid w:val="00507781"/>
    <w:rsid w:val="00507B9F"/>
    <w:rsid w:val="00507E9C"/>
    <w:rsid w:val="00507F97"/>
    <w:rsid w:val="0051015F"/>
    <w:rsid w:val="00510BB4"/>
    <w:rsid w:val="005132E5"/>
    <w:rsid w:val="0051418E"/>
    <w:rsid w:val="005145B2"/>
    <w:rsid w:val="005148E6"/>
    <w:rsid w:val="0051670F"/>
    <w:rsid w:val="00517E0D"/>
    <w:rsid w:val="00520D44"/>
    <w:rsid w:val="00521A4A"/>
    <w:rsid w:val="00522EE5"/>
    <w:rsid w:val="00523D23"/>
    <w:rsid w:val="00524FA3"/>
    <w:rsid w:val="00525B76"/>
    <w:rsid w:val="00527A70"/>
    <w:rsid w:val="00527E93"/>
    <w:rsid w:val="005369EC"/>
    <w:rsid w:val="00537CE3"/>
    <w:rsid w:val="0054068D"/>
    <w:rsid w:val="005415DE"/>
    <w:rsid w:val="00542852"/>
    <w:rsid w:val="00545029"/>
    <w:rsid w:val="00547362"/>
    <w:rsid w:val="00551FF6"/>
    <w:rsid w:val="005539B5"/>
    <w:rsid w:val="0055631B"/>
    <w:rsid w:val="00560C41"/>
    <w:rsid w:val="005661DB"/>
    <w:rsid w:val="00566CBB"/>
    <w:rsid w:val="00574B3B"/>
    <w:rsid w:val="00574E56"/>
    <w:rsid w:val="00577782"/>
    <w:rsid w:val="005813C3"/>
    <w:rsid w:val="00585420"/>
    <w:rsid w:val="00585E16"/>
    <w:rsid w:val="0058618A"/>
    <w:rsid w:val="00590400"/>
    <w:rsid w:val="005909EF"/>
    <w:rsid w:val="00595542"/>
    <w:rsid w:val="0059594E"/>
    <w:rsid w:val="005969F6"/>
    <w:rsid w:val="005A4C92"/>
    <w:rsid w:val="005A5469"/>
    <w:rsid w:val="005A6EF9"/>
    <w:rsid w:val="005A764A"/>
    <w:rsid w:val="005B3A88"/>
    <w:rsid w:val="005B77BB"/>
    <w:rsid w:val="005C0086"/>
    <w:rsid w:val="005C36DE"/>
    <w:rsid w:val="005C3A63"/>
    <w:rsid w:val="005C63A0"/>
    <w:rsid w:val="005C7CBD"/>
    <w:rsid w:val="005D002B"/>
    <w:rsid w:val="005D2C03"/>
    <w:rsid w:val="005D3FD8"/>
    <w:rsid w:val="005D49D7"/>
    <w:rsid w:val="005D5AB4"/>
    <w:rsid w:val="005D626D"/>
    <w:rsid w:val="005D76D9"/>
    <w:rsid w:val="005E0549"/>
    <w:rsid w:val="005E1B6E"/>
    <w:rsid w:val="005E38D5"/>
    <w:rsid w:val="005E66DE"/>
    <w:rsid w:val="005E6A9F"/>
    <w:rsid w:val="005F1D0C"/>
    <w:rsid w:val="005F2F79"/>
    <w:rsid w:val="005F3CA9"/>
    <w:rsid w:val="005F414A"/>
    <w:rsid w:val="005F6796"/>
    <w:rsid w:val="005F6B6F"/>
    <w:rsid w:val="005F71E5"/>
    <w:rsid w:val="005F72A0"/>
    <w:rsid w:val="00601A6C"/>
    <w:rsid w:val="006109B9"/>
    <w:rsid w:val="00610D0A"/>
    <w:rsid w:val="0061121F"/>
    <w:rsid w:val="0061159E"/>
    <w:rsid w:val="00611ADC"/>
    <w:rsid w:val="00612E90"/>
    <w:rsid w:val="00616300"/>
    <w:rsid w:val="00620543"/>
    <w:rsid w:val="0062444D"/>
    <w:rsid w:val="00625464"/>
    <w:rsid w:val="006332AC"/>
    <w:rsid w:val="006368F9"/>
    <w:rsid w:val="0064088E"/>
    <w:rsid w:val="0064110C"/>
    <w:rsid w:val="00644F64"/>
    <w:rsid w:val="006525DC"/>
    <w:rsid w:val="00653D73"/>
    <w:rsid w:val="00655DA8"/>
    <w:rsid w:val="00657BD6"/>
    <w:rsid w:val="006660C0"/>
    <w:rsid w:val="006709FF"/>
    <w:rsid w:val="006725F0"/>
    <w:rsid w:val="00674C9C"/>
    <w:rsid w:val="0067561B"/>
    <w:rsid w:val="00681BA4"/>
    <w:rsid w:val="006831F7"/>
    <w:rsid w:val="006835DC"/>
    <w:rsid w:val="0068432E"/>
    <w:rsid w:val="00685078"/>
    <w:rsid w:val="006856B0"/>
    <w:rsid w:val="00686F88"/>
    <w:rsid w:val="00687F00"/>
    <w:rsid w:val="00690DA0"/>
    <w:rsid w:val="006934AF"/>
    <w:rsid w:val="0069412B"/>
    <w:rsid w:val="006959AE"/>
    <w:rsid w:val="006960BF"/>
    <w:rsid w:val="006A2C98"/>
    <w:rsid w:val="006A4791"/>
    <w:rsid w:val="006A5298"/>
    <w:rsid w:val="006A7819"/>
    <w:rsid w:val="006B5B1E"/>
    <w:rsid w:val="006B612A"/>
    <w:rsid w:val="006C1149"/>
    <w:rsid w:val="006C3D4B"/>
    <w:rsid w:val="006D0E25"/>
    <w:rsid w:val="006D406E"/>
    <w:rsid w:val="006D5A62"/>
    <w:rsid w:val="006F0702"/>
    <w:rsid w:val="006F21AB"/>
    <w:rsid w:val="006F3A98"/>
    <w:rsid w:val="006F4F4E"/>
    <w:rsid w:val="006F5BD4"/>
    <w:rsid w:val="006F5E27"/>
    <w:rsid w:val="006F6537"/>
    <w:rsid w:val="006F655D"/>
    <w:rsid w:val="00701D1D"/>
    <w:rsid w:val="00702117"/>
    <w:rsid w:val="00702A52"/>
    <w:rsid w:val="00703259"/>
    <w:rsid w:val="007032FD"/>
    <w:rsid w:val="00704935"/>
    <w:rsid w:val="00705584"/>
    <w:rsid w:val="007055C9"/>
    <w:rsid w:val="00705A2D"/>
    <w:rsid w:val="007068C0"/>
    <w:rsid w:val="00712B63"/>
    <w:rsid w:val="00712F30"/>
    <w:rsid w:val="00713B52"/>
    <w:rsid w:val="00714C04"/>
    <w:rsid w:val="0071573D"/>
    <w:rsid w:val="00715F06"/>
    <w:rsid w:val="00715F28"/>
    <w:rsid w:val="00720298"/>
    <w:rsid w:val="00720F37"/>
    <w:rsid w:val="00721462"/>
    <w:rsid w:val="007215D3"/>
    <w:rsid w:val="00724134"/>
    <w:rsid w:val="00725704"/>
    <w:rsid w:val="00726682"/>
    <w:rsid w:val="00726926"/>
    <w:rsid w:val="007307C6"/>
    <w:rsid w:val="007310E3"/>
    <w:rsid w:val="00732438"/>
    <w:rsid w:val="00733DCF"/>
    <w:rsid w:val="007350F7"/>
    <w:rsid w:val="00736265"/>
    <w:rsid w:val="00741715"/>
    <w:rsid w:val="007420CC"/>
    <w:rsid w:val="00750FB4"/>
    <w:rsid w:val="0075271D"/>
    <w:rsid w:val="00755B33"/>
    <w:rsid w:val="00760AF8"/>
    <w:rsid w:val="00761068"/>
    <w:rsid w:val="00762066"/>
    <w:rsid w:val="00762912"/>
    <w:rsid w:val="00763430"/>
    <w:rsid w:val="0076755C"/>
    <w:rsid w:val="00771995"/>
    <w:rsid w:val="00771E4C"/>
    <w:rsid w:val="0077665E"/>
    <w:rsid w:val="00780BE2"/>
    <w:rsid w:val="007811EB"/>
    <w:rsid w:val="00781B25"/>
    <w:rsid w:val="00785785"/>
    <w:rsid w:val="007878F1"/>
    <w:rsid w:val="00791177"/>
    <w:rsid w:val="0079127E"/>
    <w:rsid w:val="00791FE6"/>
    <w:rsid w:val="007A09FE"/>
    <w:rsid w:val="007A12DC"/>
    <w:rsid w:val="007A1C5C"/>
    <w:rsid w:val="007A1E46"/>
    <w:rsid w:val="007A2EB9"/>
    <w:rsid w:val="007A46F4"/>
    <w:rsid w:val="007A7D27"/>
    <w:rsid w:val="007B2BD5"/>
    <w:rsid w:val="007C0622"/>
    <w:rsid w:val="007C2401"/>
    <w:rsid w:val="007C3397"/>
    <w:rsid w:val="007C4BC5"/>
    <w:rsid w:val="007C4C6D"/>
    <w:rsid w:val="007C558F"/>
    <w:rsid w:val="007C6501"/>
    <w:rsid w:val="007C6BBB"/>
    <w:rsid w:val="007C6E50"/>
    <w:rsid w:val="007D3B94"/>
    <w:rsid w:val="007D41A5"/>
    <w:rsid w:val="007D46FD"/>
    <w:rsid w:val="007D5DF8"/>
    <w:rsid w:val="007D7FE3"/>
    <w:rsid w:val="007E1613"/>
    <w:rsid w:val="007E3CC7"/>
    <w:rsid w:val="007E67A2"/>
    <w:rsid w:val="007E6E4C"/>
    <w:rsid w:val="007E6E93"/>
    <w:rsid w:val="007E7F27"/>
    <w:rsid w:val="007F7BE5"/>
    <w:rsid w:val="00800C8F"/>
    <w:rsid w:val="0080197B"/>
    <w:rsid w:val="00803C3C"/>
    <w:rsid w:val="00806E2E"/>
    <w:rsid w:val="008179AB"/>
    <w:rsid w:val="008252F0"/>
    <w:rsid w:val="00827B91"/>
    <w:rsid w:val="00833FDA"/>
    <w:rsid w:val="0083509D"/>
    <w:rsid w:val="00835579"/>
    <w:rsid w:val="00837352"/>
    <w:rsid w:val="00837D73"/>
    <w:rsid w:val="008414F2"/>
    <w:rsid w:val="00845118"/>
    <w:rsid w:val="008453EF"/>
    <w:rsid w:val="008523E4"/>
    <w:rsid w:val="0085281C"/>
    <w:rsid w:val="00855156"/>
    <w:rsid w:val="008565B8"/>
    <w:rsid w:val="00860C6D"/>
    <w:rsid w:val="00860D38"/>
    <w:rsid w:val="008615D2"/>
    <w:rsid w:val="00870E52"/>
    <w:rsid w:val="00871C20"/>
    <w:rsid w:val="008755AB"/>
    <w:rsid w:val="008757A3"/>
    <w:rsid w:val="00876620"/>
    <w:rsid w:val="00877E23"/>
    <w:rsid w:val="00880421"/>
    <w:rsid w:val="00887F42"/>
    <w:rsid w:val="00890FCF"/>
    <w:rsid w:val="00893EF8"/>
    <w:rsid w:val="00896823"/>
    <w:rsid w:val="00896B1C"/>
    <w:rsid w:val="008A0017"/>
    <w:rsid w:val="008A46F6"/>
    <w:rsid w:val="008B01DF"/>
    <w:rsid w:val="008B32D8"/>
    <w:rsid w:val="008B43BF"/>
    <w:rsid w:val="008C07A7"/>
    <w:rsid w:val="008C225C"/>
    <w:rsid w:val="008C2C66"/>
    <w:rsid w:val="008C3F30"/>
    <w:rsid w:val="008C582F"/>
    <w:rsid w:val="008C7C74"/>
    <w:rsid w:val="008D0950"/>
    <w:rsid w:val="008D0AC7"/>
    <w:rsid w:val="008D18F6"/>
    <w:rsid w:val="008D3680"/>
    <w:rsid w:val="008D6ACE"/>
    <w:rsid w:val="008D7C80"/>
    <w:rsid w:val="008E0688"/>
    <w:rsid w:val="008E06D8"/>
    <w:rsid w:val="008E0E51"/>
    <w:rsid w:val="008E1609"/>
    <w:rsid w:val="008E3050"/>
    <w:rsid w:val="008E3B12"/>
    <w:rsid w:val="008E7AF9"/>
    <w:rsid w:val="008F2DB8"/>
    <w:rsid w:val="008F70F8"/>
    <w:rsid w:val="0090040A"/>
    <w:rsid w:val="009021C6"/>
    <w:rsid w:val="009050F2"/>
    <w:rsid w:val="009145D8"/>
    <w:rsid w:val="00914C5C"/>
    <w:rsid w:val="00914DF2"/>
    <w:rsid w:val="009167F5"/>
    <w:rsid w:val="00921A66"/>
    <w:rsid w:val="00922001"/>
    <w:rsid w:val="0092288B"/>
    <w:rsid w:val="0092415D"/>
    <w:rsid w:val="0092773A"/>
    <w:rsid w:val="009317A2"/>
    <w:rsid w:val="00933DDC"/>
    <w:rsid w:val="009350A9"/>
    <w:rsid w:val="00937A61"/>
    <w:rsid w:val="00937A7E"/>
    <w:rsid w:val="009405CC"/>
    <w:rsid w:val="009410D9"/>
    <w:rsid w:val="009428E4"/>
    <w:rsid w:val="00942A35"/>
    <w:rsid w:val="00942F52"/>
    <w:rsid w:val="009467FC"/>
    <w:rsid w:val="00951125"/>
    <w:rsid w:val="00951569"/>
    <w:rsid w:val="0096203F"/>
    <w:rsid w:val="00971FB1"/>
    <w:rsid w:val="00980233"/>
    <w:rsid w:val="00981EAC"/>
    <w:rsid w:val="00982932"/>
    <w:rsid w:val="00983917"/>
    <w:rsid w:val="00983AAD"/>
    <w:rsid w:val="009902AF"/>
    <w:rsid w:val="0099131C"/>
    <w:rsid w:val="009956B9"/>
    <w:rsid w:val="00995D76"/>
    <w:rsid w:val="00997AA7"/>
    <w:rsid w:val="009A2376"/>
    <w:rsid w:val="009A4450"/>
    <w:rsid w:val="009A4939"/>
    <w:rsid w:val="009A5175"/>
    <w:rsid w:val="009A545C"/>
    <w:rsid w:val="009A74F7"/>
    <w:rsid w:val="009B0E88"/>
    <w:rsid w:val="009B0EA5"/>
    <w:rsid w:val="009B47ED"/>
    <w:rsid w:val="009B6F92"/>
    <w:rsid w:val="009C115B"/>
    <w:rsid w:val="009C306C"/>
    <w:rsid w:val="009C4CB5"/>
    <w:rsid w:val="009D1A20"/>
    <w:rsid w:val="009D28BC"/>
    <w:rsid w:val="009E31B5"/>
    <w:rsid w:val="009E6EBD"/>
    <w:rsid w:val="009E72AE"/>
    <w:rsid w:val="009F0990"/>
    <w:rsid w:val="009F31E6"/>
    <w:rsid w:val="009F3A7C"/>
    <w:rsid w:val="009F514A"/>
    <w:rsid w:val="009F703B"/>
    <w:rsid w:val="00A0576B"/>
    <w:rsid w:val="00A057AA"/>
    <w:rsid w:val="00A06464"/>
    <w:rsid w:val="00A169D8"/>
    <w:rsid w:val="00A170D0"/>
    <w:rsid w:val="00A17EBF"/>
    <w:rsid w:val="00A20395"/>
    <w:rsid w:val="00A21E91"/>
    <w:rsid w:val="00A25597"/>
    <w:rsid w:val="00A261C6"/>
    <w:rsid w:val="00A2632D"/>
    <w:rsid w:val="00A321CB"/>
    <w:rsid w:val="00A34A38"/>
    <w:rsid w:val="00A35630"/>
    <w:rsid w:val="00A40EE7"/>
    <w:rsid w:val="00A47B52"/>
    <w:rsid w:val="00A5543B"/>
    <w:rsid w:val="00A55D98"/>
    <w:rsid w:val="00A61497"/>
    <w:rsid w:val="00A62FC5"/>
    <w:rsid w:val="00A63EA0"/>
    <w:rsid w:val="00A710BF"/>
    <w:rsid w:val="00A71A5B"/>
    <w:rsid w:val="00A71C82"/>
    <w:rsid w:val="00A72131"/>
    <w:rsid w:val="00A724CD"/>
    <w:rsid w:val="00A76968"/>
    <w:rsid w:val="00A825DB"/>
    <w:rsid w:val="00A87632"/>
    <w:rsid w:val="00A905C6"/>
    <w:rsid w:val="00AA3A72"/>
    <w:rsid w:val="00AA51E4"/>
    <w:rsid w:val="00AA6727"/>
    <w:rsid w:val="00AA748B"/>
    <w:rsid w:val="00AB2743"/>
    <w:rsid w:val="00AB2760"/>
    <w:rsid w:val="00AB2B70"/>
    <w:rsid w:val="00AB4E66"/>
    <w:rsid w:val="00AB741A"/>
    <w:rsid w:val="00AB7455"/>
    <w:rsid w:val="00AC1019"/>
    <w:rsid w:val="00AC1C73"/>
    <w:rsid w:val="00AC34F6"/>
    <w:rsid w:val="00AC3E3C"/>
    <w:rsid w:val="00AC4F93"/>
    <w:rsid w:val="00AD15F3"/>
    <w:rsid w:val="00AD3EBF"/>
    <w:rsid w:val="00AD42CA"/>
    <w:rsid w:val="00AD69A4"/>
    <w:rsid w:val="00AF32EC"/>
    <w:rsid w:val="00AF4AE6"/>
    <w:rsid w:val="00AF6979"/>
    <w:rsid w:val="00AF6B78"/>
    <w:rsid w:val="00AF7116"/>
    <w:rsid w:val="00AF7238"/>
    <w:rsid w:val="00B05913"/>
    <w:rsid w:val="00B05FA2"/>
    <w:rsid w:val="00B066BA"/>
    <w:rsid w:val="00B07CF5"/>
    <w:rsid w:val="00B12BF7"/>
    <w:rsid w:val="00B14144"/>
    <w:rsid w:val="00B14B48"/>
    <w:rsid w:val="00B17DD4"/>
    <w:rsid w:val="00B21097"/>
    <w:rsid w:val="00B22C35"/>
    <w:rsid w:val="00B24009"/>
    <w:rsid w:val="00B24759"/>
    <w:rsid w:val="00B254EE"/>
    <w:rsid w:val="00B26A6D"/>
    <w:rsid w:val="00B27E42"/>
    <w:rsid w:val="00B30895"/>
    <w:rsid w:val="00B40D3D"/>
    <w:rsid w:val="00B44D1C"/>
    <w:rsid w:val="00B455C0"/>
    <w:rsid w:val="00B4785D"/>
    <w:rsid w:val="00B47C58"/>
    <w:rsid w:val="00B5238B"/>
    <w:rsid w:val="00B57515"/>
    <w:rsid w:val="00B61F2E"/>
    <w:rsid w:val="00B66C40"/>
    <w:rsid w:val="00B67751"/>
    <w:rsid w:val="00B74390"/>
    <w:rsid w:val="00B745C9"/>
    <w:rsid w:val="00B80D1E"/>
    <w:rsid w:val="00B83331"/>
    <w:rsid w:val="00B86A45"/>
    <w:rsid w:val="00B90792"/>
    <w:rsid w:val="00B91B82"/>
    <w:rsid w:val="00B93421"/>
    <w:rsid w:val="00B9526E"/>
    <w:rsid w:val="00B96690"/>
    <w:rsid w:val="00BA1E5A"/>
    <w:rsid w:val="00BA3EAE"/>
    <w:rsid w:val="00BA46D8"/>
    <w:rsid w:val="00BA7516"/>
    <w:rsid w:val="00BB16A1"/>
    <w:rsid w:val="00BB7493"/>
    <w:rsid w:val="00BB7DBB"/>
    <w:rsid w:val="00BD0092"/>
    <w:rsid w:val="00BD0189"/>
    <w:rsid w:val="00BD243B"/>
    <w:rsid w:val="00BE076B"/>
    <w:rsid w:val="00BE082D"/>
    <w:rsid w:val="00BE478F"/>
    <w:rsid w:val="00BE513D"/>
    <w:rsid w:val="00BF09BB"/>
    <w:rsid w:val="00BF3D53"/>
    <w:rsid w:val="00BF429F"/>
    <w:rsid w:val="00BF4E7D"/>
    <w:rsid w:val="00BF5A04"/>
    <w:rsid w:val="00BF5A72"/>
    <w:rsid w:val="00BF69AF"/>
    <w:rsid w:val="00C03F36"/>
    <w:rsid w:val="00C05756"/>
    <w:rsid w:val="00C10F3E"/>
    <w:rsid w:val="00C12008"/>
    <w:rsid w:val="00C12874"/>
    <w:rsid w:val="00C13C98"/>
    <w:rsid w:val="00C13CF1"/>
    <w:rsid w:val="00C14DD9"/>
    <w:rsid w:val="00C15BE9"/>
    <w:rsid w:val="00C15DC0"/>
    <w:rsid w:val="00C2001A"/>
    <w:rsid w:val="00C20173"/>
    <w:rsid w:val="00C20B12"/>
    <w:rsid w:val="00C20E83"/>
    <w:rsid w:val="00C21189"/>
    <w:rsid w:val="00C22DB1"/>
    <w:rsid w:val="00C233C2"/>
    <w:rsid w:val="00C23760"/>
    <w:rsid w:val="00C23CFD"/>
    <w:rsid w:val="00C2443A"/>
    <w:rsid w:val="00C257FA"/>
    <w:rsid w:val="00C25923"/>
    <w:rsid w:val="00C30815"/>
    <w:rsid w:val="00C32469"/>
    <w:rsid w:val="00C32A03"/>
    <w:rsid w:val="00C37EA1"/>
    <w:rsid w:val="00C44157"/>
    <w:rsid w:val="00C445C1"/>
    <w:rsid w:val="00C50A65"/>
    <w:rsid w:val="00C51543"/>
    <w:rsid w:val="00C536E7"/>
    <w:rsid w:val="00C56720"/>
    <w:rsid w:val="00C571FE"/>
    <w:rsid w:val="00C609FE"/>
    <w:rsid w:val="00C645CA"/>
    <w:rsid w:val="00C64D8B"/>
    <w:rsid w:val="00C72985"/>
    <w:rsid w:val="00C74DD8"/>
    <w:rsid w:val="00C76984"/>
    <w:rsid w:val="00C769EA"/>
    <w:rsid w:val="00C80787"/>
    <w:rsid w:val="00C81BB9"/>
    <w:rsid w:val="00C828E3"/>
    <w:rsid w:val="00C83DCA"/>
    <w:rsid w:val="00C906D7"/>
    <w:rsid w:val="00C92427"/>
    <w:rsid w:val="00C95F52"/>
    <w:rsid w:val="00CA0DE3"/>
    <w:rsid w:val="00CA1410"/>
    <w:rsid w:val="00CA32A6"/>
    <w:rsid w:val="00CA4DD1"/>
    <w:rsid w:val="00CA77FF"/>
    <w:rsid w:val="00CA7CA5"/>
    <w:rsid w:val="00CB0E10"/>
    <w:rsid w:val="00CB1447"/>
    <w:rsid w:val="00CB1A5C"/>
    <w:rsid w:val="00CB2890"/>
    <w:rsid w:val="00CB4E90"/>
    <w:rsid w:val="00CB6FCF"/>
    <w:rsid w:val="00CC2C1E"/>
    <w:rsid w:val="00CC4EB8"/>
    <w:rsid w:val="00CC74DA"/>
    <w:rsid w:val="00CD0EF9"/>
    <w:rsid w:val="00CD355F"/>
    <w:rsid w:val="00CD4D85"/>
    <w:rsid w:val="00CD55DB"/>
    <w:rsid w:val="00CD568D"/>
    <w:rsid w:val="00CE1647"/>
    <w:rsid w:val="00CE3FF1"/>
    <w:rsid w:val="00CE67DF"/>
    <w:rsid w:val="00CE7CD9"/>
    <w:rsid w:val="00CF3C07"/>
    <w:rsid w:val="00CF3F6D"/>
    <w:rsid w:val="00CF5FDE"/>
    <w:rsid w:val="00CF6469"/>
    <w:rsid w:val="00D0255E"/>
    <w:rsid w:val="00D02A2F"/>
    <w:rsid w:val="00D03D5A"/>
    <w:rsid w:val="00D07089"/>
    <w:rsid w:val="00D10D7E"/>
    <w:rsid w:val="00D14B72"/>
    <w:rsid w:val="00D1565C"/>
    <w:rsid w:val="00D166D8"/>
    <w:rsid w:val="00D16ACE"/>
    <w:rsid w:val="00D21318"/>
    <w:rsid w:val="00D2735F"/>
    <w:rsid w:val="00D31BE8"/>
    <w:rsid w:val="00D323DC"/>
    <w:rsid w:val="00D32622"/>
    <w:rsid w:val="00D32B5E"/>
    <w:rsid w:val="00D362BE"/>
    <w:rsid w:val="00D3667D"/>
    <w:rsid w:val="00D37EC2"/>
    <w:rsid w:val="00D401D2"/>
    <w:rsid w:val="00D40E7C"/>
    <w:rsid w:val="00D41FD0"/>
    <w:rsid w:val="00D452A1"/>
    <w:rsid w:val="00D5052D"/>
    <w:rsid w:val="00D51692"/>
    <w:rsid w:val="00D5325F"/>
    <w:rsid w:val="00D57F36"/>
    <w:rsid w:val="00D6359E"/>
    <w:rsid w:val="00D64285"/>
    <w:rsid w:val="00D66CFE"/>
    <w:rsid w:val="00D71860"/>
    <w:rsid w:val="00D72483"/>
    <w:rsid w:val="00D755E6"/>
    <w:rsid w:val="00D76C86"/>
    <w:rsid w:val="00D8090C"/>
    <w:rsid w:val="00D83E9A"/>
    <w:rsid w:val="00D846CD"/>
    <w:rsid w:val="00D862C1"/>
    <w:rsid w:val="00D8650C"/>
    <w:rsid w:val="00D8699B"/>
    <w:rsid w:val="00D90D0B"/>
    <w:rsid w:val="00D913EE"/>
    <w:rsid w:val="00D949E4"/>
    <w:rsid w:val="00D960EF"/>
    <w:rsid w:val="00DA4260"/>
    <w:rsid w:val="00DA4980"/>
    <w:rsid w:val="00DB0192"/>
    <w:rsid w:val="00DB14D4"/>
    <w:rsid w:val="00DB1E4A"/>
    <w:rsid w:val="00DB2290"/>
    <w:rsid w:val="00DB275C"/>
    <w:rsid w:val="00DB68CB"/>
    <w:rsid w:val="00DC0D7D"/>
    <w:rsid w:val="00DC49DC"/>
    <w:rsid w:val="00DC5CFC"/>
    <w:rsid w:val="00DC722B"/>
    <w:rsid w:val="00DD26B5"/>
    <w:rsid w:val="00DD442B"/>
    <w:rsid w:val="00DD4A0A"/>
    <w:rsid w:val="00DD585B"/>
    <w:rsid w:val="00DE18B8"/>
    <w:rsid w:val="00DE1A48"/>
    <w:rsid w:val="00DF03DE"/>
    <w:rsid w:val="00DF104E"/>
    <w:rsid w:val="00DF23CA"/>
    <w:rsid w:val="00DF49C8"/>
    <w:rsid w:val="00DF4FD3"/>
    <w:rsid w:val="00DF5E41"/>
    <w:rsid w:val="00E01AB9"/>
    <w:rsid w:val="00E02215"/>
    <w:rsid w:val="00E108B9"/>
    <w:rsid w:val="00E1135C"/>
    <w:rsid w:val="00E2027A"/>
    <w:rsid w:val="00E23731"/>
    <w:rsid w:val="00E23D70"/>
    <w:rsid w:val="00E260A9"/>
    <w:rsid w:val="00E26B93"/>
    <w:rsid w:val="00E27BC3"/>
    <w:rsid w:val="00E27E7C"/>
    <w:rsid w:val="00E317ED"/>
    <w:rsid w:val="00E32449"/>
    <w:rsid w:val="00E34BE7"/>
    <w:rsid w:val="00E37DF1"/>
    <w:rsid w:val="00E4217E"/>
    <w:rsid w:val="00E44D9F"/>
    <w:rsid w:val="00E45ECB"/>
    <w:rsid w:val="00E46140"/>
    <w:rsid w:val="00E50F53"/>
    <w:rsid w:val="00E51716"/>
    <w:rsid w:val="00E521EF"/>
    <w:rsid w:val="00E52D13"/>
    <w:rsid w:val="00E54FFB"/>
    <w:rsid w:val="00E5636F"/>
    <w:rsid w:val="00E567F6"/>
    <w:rsid w:val="00E5691B"/>
    <w:rsid w:val="00E56ED8"/>
    <w:rsid w:val="00E5745F"/>
    <w:rsid w:val="00E609EF"/>
    <w:rsid w:val="00E663DA"/>
    <w:rsid w:val="00E66B04"/>
    <w:rsid w:val="00E71BB3"/>
    <w:rsid w:val="00E73C91"/>
    <w:rsid w:val="00E75940"/>
    <w:rsid w:val="00E75B19"/>
    <w:rsid w:val="00E76F12"/>
    <w:rsid w:val="00E77857"/>
    <w:rsid w:val="00E821A2"/>
    <w:rsid w:val="00E842BB"/>
    <w:rsid w:val="00E84739"/>
    <w:rsid w:val="00E85142"/>
    <w:rsid w:val="00E853B7"/>
    <w:rsid w:val="00E857FB"/>
    <w:rsid w:val="00E85E74"/>
    <w:rsid w:val="00E87789"/>
    <w:rsid w:val="00E90585"/>
    <w:rsid w:val="00E916A4"/>
    <w:rsid w:val="00E9241B"/>
    <w:rsid w:val="00E93925"/>
    <w:rsid w:val="00E94489"/>
    <w:rsid w:val="00E95016"/>
    <w:rsid w:val="00E97282"/>
    <w:rsid w:val="00EA0360"/>
    <w:rsid w:val="00EA5103"/>
    <w:rsid w:val="00EA7B26"/>
    <w:rsid w:val="00EB21A6"/>
    <w:rsid w:val="00EB2370"/>
    <w:rsid w:val="00EB56CD"/>
    <w:rsid w:val="00EB7405"/>
    <w:rsid w:val="00EB7DB7"/>
    <w:rsid w:val="00EC2A01"/>
    <w:rsid w:val="00EC6682"/>
    <w:rsid w:val="00EC7131"/>
    <w:rsid w:val="00ED025D"/>
    <w:rsid w:val="00ED2173"/>
    <w:rsid w:val="00ED297F"/>
    <w:rsid w:val="00ED2A64"/>
    <w:rsid w:val="00ED396E"/>
    <w:rsid w:val="00ED3F32"/>
    <w:rsid w:val="00ED51FC"/>
    <w:rsid w:val="00ED584D"/>
    <w:rsid w:val="00ED5C67"/>
    <w:rsid w:val="00ED74E8"/>
    <w:rsid w:val="00EE00DE"/>
    <w:rsid w:val="00EE5469"/>
    <w:rsid w:val="00EE62CC"/>
    <w:rsid w:val="00EE7EA9"/>
    <w:rsid w:val="00EF2993"/>
    <w:rsid w:val="00EF6DF2"/>
    <w:rsid w:val="00EF7770"/>
    <w:rsid w:val="00F01446"/>
    <w:rsid w:val="00F02259"/>
    <w:rsid w:val="00F07BCD"/>
    <w:rsid w:val="00F118B0"/>
    <w:rsid w:val="00F17C3F"/>
    <w:rsid w:val="00F20A38"/>
    <w:rsid w:val="00F215F3"/>
    <w:rsid w:val="00F23153"/>
    <w:rsid w:val="00F255E3"/>
    <w:rsid w:val="00F257C7"/>
    <w:rsid w:val="00F32C03"/>
    <w:rsid w:val="00F33642"/>
    <w:rsid w:val="00F375B0"/>
    <w:rsid w:val="00F37EA5"/>
    <w:rsid w:val="00F4203B"/>
    <w:rsid w:val="00F42256"/>
    <w:rsid w:val="00F4579A"/>
    <w:rsid w:val="00F45F54"/>
    <w:rsid w:val="00F46A91"/>
    <w:rsid w:val="00F50105"/>
    <w:rsid w:val="00F51CC2"/>
    <w:rsid w:val="00F528DE"/>
    <w:rsid w:val="00F53B5F"/>
    <w:rsid w:val="00F60D1F"/>
    <w:rsid w:val="00F610CE"/>
    <w:rsid w:val="00F640B3"/>
    <w:rsid w:val="00F672C4"/>
    <w:rsid w:val="00F716DE"/>
    <w:rsid w:val="00F718C6"/>
    <w:rsid w:val="00F7265E"/>
    <w:rsid w:val="00F74787"/>
    <w:rsid w:val="00F74868"/>
    <w:rsid w:val="00F942E1"/>
    <w:rsid w:val="00F9441D"/>
    <w:rsid w:val="00F95C7C"/>
    <w:rsid w:val="00F96011"/>
    <w:rsid w:val="00F9644E"/>
    <w:rsid w:val="00F976B9"/>
    <w:rsid w:val="00FA4266"/>
    <w:rsid w:val="00FA4358"/>
    <w:rsid w:val="00FA4B47"/>
    <w:rsid w:val="00FA721B"/>
    <w:rsid w:val="00FB3BE2"/>
    <w:rsid w:val="00FB3FDC"/>
    <w:rsid w:val="00FB4F4B"/>
    <w:rsid w:val="00FB5042"/>
    <w:rsid w:val="00FC002B"/>
    <w:rsid w:val="00FC46E4"/>
    <w:rsid w:val="00FC5DDC"/>
    <w:rsid w:val="00FC7093"/>
    <w:rsid w:val="00FC7778"/>
    <w:rsid w:val="00FD0B9E"/>
    <w:rsid w:val="00FD1801"/>
    <w:rsid w:val="00FD1C7B"/>
    <w:rsid w:val="00FD1D60"/>
    <w:rsid w:val="00FD3061"/>
    <w:rsid w:val="00FD4011"/>
    <w:rsid w:val="00FD4E0F"/>
    <w:rsid w:val="00FD7113"/>
    <w:rsid w:val="00FE05B3"/>
    <w:rsid w:val="00FE3B7D"/>
    <w:rsid w:val="00FE483C"/>
    <w:rsid w:val="00FE49BF"/>
    <w:rsid w:val="00FE6B5F"/>
    <w:rsid w:val="00FE722D"/>
    <w:rsid w:val="00FF042C"/>
    <w:rsid w:val="00FF0EDD"/>
    <w:rsid w:val="00FF28E5"/>
    <w:rsid w:val="00FF5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semiHidden="1" w:unhideWhenUsed="1" w:qFormat="1"/>
    <w:lsdException w:name="footnote reference" w:locked="1"/>
    <w:lsdException w:name="Title" w:locked="1" w:qFormat="1"/>
    <w:lsdException w:name="Default Paragraph Font" w:locked="1"/>
    <w:lsdException w:name="Body Text" w:uiPriority="99"/>
    <w:lsdException w:name="Subtitle" w:locked="1" w:qFormat="1"/>
    <w:lsdException w:name="Body Text Indent 3" w:locked="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1CC2"/>
    <w:pPr>
      <w:tabs>
        <w:tab w:val="left" w:pos="-30"/>
        <w:tab w:val="left" w:pos="0"/>
      </w:tabs>
      <w:spacing w:line="360" w:lineRule="atLeast"/>
      <w:ind w:firstLine="709"/>
      <w:jc w:val="both"/>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3BEF"/>
    <w:pPr>
      <w:tabs>
        <w:tab w:val="center" w:pos="4153"/>
        <w:tab w:val="right" w:pos="8306"/>
      </w:tabs>
    </w:pPr>
    <w:rPr>
      <w:szCs w:val="20"/>
    </w:rPr>
  </w:style>
  <w:style w:type="character" w:customStyle="1" w:styleId="a4">
    <w:name w:val="Верхний колонтитул Знак"/>
    <w:link w:val="a3"/>
    <w:locked/>
    <w:rsid w:val="00043BEF"/>
    <w:rPr>
      <w:rFonts w:ascii="Times New Roman" w:hAnsi="Times New Roman" w:cs="Times New Roman"/>
      <w:sz w:val="28"/>
      <w:lang w:eastAsia="ru-RU"/>
    </w:rPr>
  </w:style>
  <w:style w:type="paragraph" w:customStyle="1" w:styleId="ConsNormal">
    <w:name w:val="ConsNormal"/>
    <w:rsid w:val="00043BEF"/>
    <w:pPr>
      <w:ind w:firstLine="720"/>
    </w:pPr>
    <w:rPr>
      <w:rFonts w:ascii="Arial" w:hAnsi="Arial" w:cs="Arial"/>
      <w:sz w:val="18"/>
      <w:szCs w:val="18"/>
    </w:rPr>
  </w:style>
  <w:style w:type="paragraph" w:customStyle="1" w:styleId="ConsPlusTitle">
    <w:name w:val="ConsPlusTitle"/>
    <w:rsid w:val="00043BEF"/>
    <w:pPr>
      <w:widowControl w:val="0"/>
    </w:pPr>
    <w:rPr>
      <w:rFonts w:ascii="Arial" w:hAnsi="Arial"/>
      <w:b/>
    </w:rPr>
  </w:style>
  <w:style w:type="paragraph" w:styleId="a5">
    <w:name w:val="footnote text"/>
    <w:basedOn w:val="a"/>
    <w:link w:val="a6"/>
    <w:semiHidden/>
    <w:rsid w:val="00A76968"/>
    <w:pPr>
      <w:tabs>
        <w:tab w:val="clear" w:pos="-30"/>
        <w:tab w:val="clear" w:pos="0"/>
      </w:tabs>
      <w:spacing w:line="240" w:lineRule="auto"/>
      <w:ind w:firstLine="0"/>
      <w:jc w:val="left"/>
    </w:pPr>
    <w:rPr>
      <w:sz w:val="20"/>
      <w:szCs w:val="20"/>
    </w:rPr>
  </w:style>
  <w:style w:type="character" w:customStyle="1" w:styleId="a6">
    <w:name w:val="Текст сноски Знак"/>
    <w:link w:val="a5"/>
    <w:semiHidden/>
    <w:locked/>
    <w:rsid w:val="00A76968"/>
    <w:rPr>
      <w:rFonts w:ascii="Times New Roman" w:hAnsi="Times New Roman" w:cs="Times New Roman"/>
      <w:sz w:val="20"/>
      <w:lang w:eastAsia="ru-RU"/>
    </w:rPr>
  </w:style>
  <w:style w:type="character" w:styleId="a7">
    <w:name w:val="footnote reference"/>
    <w:semiHidden/>
    <w:rsid w:val="00A76968"/>
    <w:rPr>
      <w:rFonts w:cs="Times New Roman"/>
      <w:vertAlign w:val="superscript"/>
    </w:rPr>
  </w:style>
  <w:style w:type="paragraph" w:styleId="a8">
    <w:name w:val="footer"/>
    <w:basedOn w:val="a"/>
    <w:link w:val="a9"/>
    <w:rsid w:val="00A76968"/>
    <w:pPr>
      <w:tabs>
        <w:tab w:val="clear" w:pos="-30"/>
        <w:tab w:val="clear" w:pos="0"/>
        <w:tab w:val="center" w:pos="4677"/>
        <w:tab w:val="right" w:pos="9355"/>
      </w:tabs>
      <w:spacing w:line="240" w:lineRule="auto"/>
      <w:ind w:firstLine="0"/>
      <w:jc w:val="left"/>
    </w:pPr>
    <w:rPr>
      <w:sz w:val="20"/>
      <w:szCs w:val="20"/>
    </w:rPr>
  </w:style>
  <w:style w:type="character" w:customStyle="1" w:styleId="a9">
    <w:name w:val="Нижний колонтитул Знак"/>
    <w:link w:val="a8"/>
    <w:locked/>
    <w:rsid w:val="00A76968"/>
    <w:rPr>
      <w:rFonts w:ascii="Times New Roman" w:hAnsi="Times New Roman" w:cs="Times New Roman"/>
      <w:sz w:val="20"/>
      <w:lang w:eastAsia="ru-RU"/>
    </w:rPr>
  </w:style>
  <w:style w:type="paragraph" w:customStyle="1" w:styleId="ConsTitle">
    <w:name w:val="ConsTitle"/>
    <w:rsid w:val="00A76968"/>
    <w:pPr>
      <w:widowControl w:val="0"/>
      <w:autoSpaceDE w:val="0"/>
      <w:autoSpaceDN w:val="0"/>
      <w:adjustRightInd w:val="0"/>
      <w:ind w:right="19772"/>
    </w:pPr>
    <w:rPr>
      <w:rFonts w:ascii="Arial" w:hAnsi="Arial" w:cs="Arial"/>
      <w:b/>
      <w:bCs/>
      <w:sz w:val="18"/>
      <w:szCs w:val="18"/>
    </w:rPr>
  </w:style>
  <w:style w:type="paragraph" w:styleId="aa">
    <w:name w:val="Balloon Text"/>
    <w:basedOn w:val="a"/>
    <w:link w:val="ab"/>
    <w:semiHidden/>
    <w:rsid w:val="003A7142"/>
    <w:pPr>
      <w:spacing w:line="240" w:lineRule="auto"/>
    </w:pPr>
    <w:rPr>
      <w:rFonts w:ascii="Tahoma" w:hAnsi="Tahoma"/>
      <w:sz w:val="16"/>
      <w:szCs w:val="20"/>
    </w:rPr>
  </w:style>
  <w:style w:type="character" w:customStyle="1" w:styleId="ab">
    <w:name w:val="Текст выноски Знак"/>
    <w:link w:val="aa"/>
    <w:semiHidden/>
    <w:locked/>
    <w:rsid w:val="003A7142"/>
    <w:rPr>
      <w:rFonts w:ascii="Tahoma" w:hAnsi="Tahoma" w:cs="Times New Roman"/>
      <w:sz w:val="16"/>
      <w:lang w:eastAsia="ru-RU"/>
    </w:rPr>
  </w:style>
  <w:style w:type="paragraph" w:styleId="3">
    <w:name w:val="Body Text Indent 3"/>
    <w:basedOn w:val="a"/>
    <w:link w:val="30"/>
    <w:rsid w:val="003A7142"/>
    <w:pPr>
      <w:widowControl w:val="0"/>
      <w:tabs>
        <w:tab w:val="clear" w:pos="0"/>
      </w:tabs>
      <w:spacing w:line="240" w:lineRule="auto"/>
    </w:pPr>
    <w:rPr>
      <w:szCs w:val="20"/>
      <w:u w:val="single"/>
    </w:rPr>
  </w:style>
  <w:style w:type="character" w:customStyle="1" w:styleId="30">
    <w:name w:val="Основной текст с отступом 3 Знак"/>
    <w:link w:val="3"/>
    <w:locked/>
    <w:rsid w:val="003A7142"/>
    <w:rPr>
      <w:rFonts w:ascii="Times New Roman" w:hAnsi="Times New Roman" w:cs="Times New Roman"/>
      <w:sz w:val="28"/>
      <w:u w:val="single"/>
      <w:lang w:eastAsia="ru-RU"/>
    </w:rPr>
  </w:style>
  <w:style w:type="character" w:styleId="ac">
    <w:name w:val="page number"/>
    <w:rsid w:val="00B24759"/>
    <w:rPr>
      <w:rFonts w:cs="Times New Roman"/>
    </w:rPr>
  </w:style>
  <w:style w:type="paragraph" w:customStyle="1" w:styleId="ConsPlusNormal">
    <w:name w:val="ConsPlusNormal"/>
    <w:rsid w:val="007D5DF8"/>
    <w:pPr>
      <w:autoSpaceDE w:val="0"/>
      <w:autoSpaceDN w:val="0"/>
      <w:adjustRightInd w:val="0"/>
    </w:pPr>
    <w:rPr>
      <w:rFonts w:ascii="Arial" w:hAnsi="Arial" w:cs="Arial"/>
      <w:lang w:eastAsia="en-US"/>
    </w:rPr>
  </w:style>
  <w:style w:type="paragraph" w:styleId="ad">
    <w:name w:val="Body Text"/>
    <w:basedOn w:val="a"/>
    <w:link w:val="ae"/>
    <w:uiPriority w:val="99"/>
    <w:unhideWhenUsed/>
    <w:rsid w:val="00771E4C"/>
    <w:pPr>
      <w:spacing w:after="120"/>
    </w:pPr>
    <w:rPr>
      <w:rFonts w:eastAsia="Times New Roman"/>
    </w:rPr>
  </w:style>
  <w:style w:type="character" w:customStyle="1" w:styleId="ae">
    <w:name w:val="Основной текст Знак"/>
    <w:link w:val="ad"/>
    <w:uiPriority w:val="99"/>
    <w:rsid w:val="00771E4C"/>
    <w:rPr>
      <w:rFonts w:ascii="Times New Roman" w:eastAsia="Times New Roman" w:hAnsi="Times New Roman"/>
      <w:sz w:val="28"/>
      <w:szCs w:val="28"/>
    </w:rPr>
  </w:style>
  <w:style w:type="paragraph" w:styleId="af">
    <w:name w:val="endnote text"/>
    <w:basedOn w:val="a"/>
    <w:link w:val="af0"/>
    <w:rsid w:val="00290BFE"/>
    <w:rPr>
      <w:sz w:val="20"/>
      <w:szCs w:val="20"/>
    </w:rPr>
  </w:style>
  <w:style w:type="character" w:customStyle="1" w:styleId="af0">
    <w:name w:val="Текст концевой сноски Знак"/>
    <w:link w:val="af"/>
    <w:rsid w:val="00290BFE"/>
    <w:rPr>
      <w:rFonts w:ascii="Times New Roman" w:hAnsi="Times New Roman"/>
    </w:rPr>
  </w:style>
  <w:style w:type="character" w:styleId="af1">
    <w:name w:val="endnote reference"/>
    <w:rsid w:val="00290BFE"/>
    <w:rPr>
      <w:vertAlign w:val="superscript"/>
    </w:rPr>
  </w:style>
  <w:style w:type="table" w:styleId="af2">
    <w:name w:val="Table Grid"/>
    <w:basedOn w:val="a1"/>
    <w:uiPriority w:val="59"/>
    <w:locked/>
    <w:rsid w:val="00524F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E85E74"/>
    <w:pPr>
      <w:tabs>
        <w:tab w:val="clear" w:pos="-30"/>
        <w:tab w:val="clear" w:pos="0"/>
      </w:tabs>
      <w:spacing w:line="240" w:lineRule="auto"/>
      <w:ind w:left="720" w:firstLine="0"/>
      <w:contextualSpacing/>
      <w:jc w:val="left"/>
    </w:pPr>
    <w:rPr>
      <w:rFonts w:eastAsia="Times New Roman"/>
      <w:sz w:val="24"/>
      <w:szCs w:val="24"/>
    </w:rPr>
  </w:style>
  <w:style w:type="paragraph" w:customStyle="1" w:styleId="1">
    <w:name w:val="Абзац списка1"/>
    <w:basedOn w:val="a"/>
    <w:rsid w:val="006F655D"/>
    <w:pPr>
      <w:tabs>
        <w:tab w:val="clear" w:pos="-30"/>
        <w:tab w:val="clear" w:pos="0"/>
      </w:tabs>
      <w:spacing w:line="240" w:lineRule="auto"/>
      <w:ind w:left="720" w:firstLine="0"/>
      <w:contextualSpacing/>
      <w:jc w:val="left"/>
    </w:pPr>
    <w:rPr>
      <w:sz w:val="24"/>
      <w:szCs w:val="24"/>
    </w:rPr>
  </w:style>
  <w:style w:type="paragraph" w:styleId="af4">
    <w:name w:val="No Spacing"/>
    <w:uiPriority w:val="1"/>
    <w:qFormat/>
    <w:rsid w:val="0020232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453470">
      <w:bodyDiv w:val="1"/>
      <w:marLeft w:val="0"/>
      <w:marRight w:val="0"/>
      <w:marTop w:val="0"/>
      <w:marBottom w:val="0"/>
      <w:divBdr>
        <w:top w:val="none" w:sz="0" w:space="0" w:color="auto"/>
        <w:left w:val="none" w:sz="0" w:space="0" w:color="auto"/>
        <w:bottom w:val="none" w:sz="0" w:space="0" w:color="auto"/>
        <w:right w:val="none" w:sz="0" w:space="0" w:color="auto"/>
      </w:divBdr>
    </w:div>
    <w:div w:id="839345160">
      <w:bodyDiv w:val="1"/>
      <w:marLeft w:val="0"/>
      <w:marRight w:val="0"/>
      <w:marTop w:val="0"/>
      <w:marBottom w:val="0"/>
      <w:divBdr>
        <w:top w:val="none" w:sz="0" w:space="0" w:color="auto"/>
        <w:left w:val="none" w:sz="0" w:space="0" w:color="auto"/>
        <w:bottom w:val="none" w:sz="0" w:space="0" w:color="auto"/>
        <w:right w:val="none" w:sz="0" w:space="0" w:color="auto"/>
      </w:divBdr>
    </w:div>
    <w:div w:id="901718386">
      <w:bodyDiv w:val="1"/>
      <w:marLeft w:val="0"/>
      <w:marRight w:val="0"/>
      <w:marTop w:val="0"/>
      <w:marBottom w:val="0"/>
      <w:divBdr>
        <w:top w:val="none" w:sz="0" w:space="0" w:color="auto"/>
        <w:left w:val="none" w:sz="0" w:space="0" w:color="auto"/>
        <w:bottom w:val="none" w:sz="0" w:space="0" w:color="auto"/>
        <w:right w:val="none" w:sz="0" w:space="0" w:color="auto"/>
      </w:divBdr>
    </w:div>
    <w:div w:id="960768507">
      <w:bodyDiv w:val="1"/>
      <w:marLeft w:val="0"/>
      <w:marRight w:val="0"/>
      <w:marTop w:val="0"/>
      <w:marBottom w:val="0"/>
      <w:divBdr>
        <w:top w:val="none" w:sz="0" w:space="0" w:color="auto"/>
        <w:left w:val="none" w:sz="0" w:space="0" w:color="auto"/>
        <w:bottom w:val="none" w:sz="0" w:space="0" w:color="auto"/>
        <w:right w:val="none" w:sz="0" w:space="0" w:color="auto"/>
      </w:divBdr>
    </w:div>
    <w:div w:id="1087580822">
      <w:bodyDiv w:val="1"/>
      <w:marLeft w:val="0"/>
      <w:marRight w:val="0"/>
      <w:marTop w:val="0"/>
      <w:marBottom w:val="0"/>
      <w:divBdr>
        <w:top w:val="none" w:sz="0" w:space="0" w:color="auto"/>
        <w:left w:val="none" w:sz="0" w:space="0" w:color="auto"/>
        <w:bottom w:val="none" w:sz="0" w:space="0" w:color="auto"/>
        <w:right w:val="none" w:sz="0" w:space="0" w:color="auto"/>
      </w:divBdr>
    </w:div>
    <w:div w:id="1244333295">
      <w:bodyDiv w:val="1"/>
      <w:marLeft w:val="0"/>
      <w:marRight w:val="0"/>
      <w:marTop w:val="0"/>
      <w:marBottom w:val="0"/>
      <w:divBdr>
        <w:top w:val="none" w:sz="0" w:space="0" w:color="auto"/>
        <w:left w:val="none" w:sz="0" w:space="0" w:color="auto"/>
        <w:bottom w:val="none" w:sz="0" w:space="0" w:color="auto"/>
        <w:right w:val="none" w:sz="0" w:space="0" w:color="auto"/>
      </w:divBdr>
    </w:div>
    <w:div w:id="1371801977">
      <w:bodyDiv w:val="1"/>
      <w:marLeft w:val="0"/>
      <w:marRight w:val="0"/>
      <w:marTop w:val="0"/>
      <w:marBottom w:val="0"/>
      <w:divBdr>
        <w:top w:val="none" w:sz="0" w:space="0" w:color="auto"/>
        <w:left w:val="none" w:sz="0" w:space="0" w:color="auto"/>
        <w:bottom w:val="none" w:sz="0" w:space="0" w:color="auto"/>
        <w:right w:val="none" w:sz="0" w:space="0" w:color="auto"/>
      </w:divBdr>
    </w:div>
    <w:div w:id="1388802836">
      <w:bodyDiv w:val="1"/>
      <w:marLeft w:val="0"/>
      <w:marRight w:val="0"/>
      <w:marTop w:val="0"/>
      <w:marBottom w:val="0"/>
      <w:divBdr>
        <w:top w:val="none" w:sz="0" w:space="0" w:color="auto"/>
        <w:left w:val="none" w:sz="0" w:space="0" w:color="auto"/>
        <w:bottom w:val="none" w:sz="0" w:space="0" w:color="auto"/>
        <w:right w:val="none" w:sz="0" w:space="0" w:color="auto"/>
      </w:divBdr>
    </w:div>
    <w:div w:id="1394742135">
      <w:bodyDiv w:val="1"/>
      <w:marLeft w:val="0"/>
      <w:marRight w:val="0"/>
      <w:marTop w:val="0"/>
      <w:marBottom w:val="0"/>
      <w:divBdr>
        <w:top w:val="none" w:sz="0" w:space="0" w:color="auto"/>
        <w:left w:val="none" w:sz="0" w:space="0" w:color="auto"/>
        <w:bottom w:val="none" w:sz="0" w:space="0" w:color="auto"/>
        <w:right w:val="none" w:sz="0" w:space="0" w:color="auto"/>
      </w:divBdr>
    </w:div>
    <w:div w:id="1537113857">
      <w:bodyDiv w:val="1"/>
      <w:marLeft w:val="0"/>
      <w:marRight w:val="0"/>
      <w:marTop w:val="0"/>
      <w:marBottom w:val="0"/>
      <w:divBdr>
        <w:top w:val="none" w:sz="0" w:space="0" w:color="auto"/>
        <w:left w:val="none" w:sz="0" w:space="0" w:color="auto"/>
        <w:bottom w:val="none" w:sz="0" w:space="0" w:color="auto"/>
        <w:right w:val="none" w:sz="0" w:space="0" w:color="auto"/>
      </w:divBdr>
    </w:div>
    <w:div w:id="1933665967">
      <w:bodyDiv w:val="1"/>
      <w:marLeft w:val="0"/>
      <w:marRight w:val="0"/>
      <w:marTop w:val="0"/>
      <w:marBottom w:val="0"/>
      <w:divBdr>
        <w:top w:val="none" w:sz="0" w:space="0" w:color="auto"/>
        <w:left w:val="none" w:sz="0" w:space="0" w:color="auto"/>
        <w:bottom w:val="none" w:sz="0" w:space="0" w:color="auto"/>
        <w:right w:val="none" w:sz="0" w:space="0" w:color="auto"/>
      </w:divBdr>
    </w:div>
    <w:div w:id="1946426907">
      <w:bodyDiv w:val="1"/>
      <w:marLeft w:val="0"/>
      <w:marRight w:val="0"/>
      <w:marTop w:val="0"/>
      <w:marBottom w:val="0"/>
      <w:divBdr>
        <w:top w:val="none" w:sz="0" w:space="0" w:color="auto"/>
        <w:left w:val="none" w:sz="0" w:space="0" w:color="auto"/>
        <w:bottom w:val="none" w:sz="0" w:space="0" w:color="auto"/>
        <w:right w:val="none" w:sz="0" w:space="0" w:color="auto"/>
      </w:divBdr>
    </w:div>
    <w:div w:id="2098791415">
      <w:bodyDiv w:val="1"/>
      <w:marLeft w:val="0"/>
      <w:marRight w:val="0"/>
      <w:marTop w:val="0"/>
      <w:marBottom w:val="0"/>
      <w:divBdr>
        <w:top w:val="none" w:sz="0" w:space="0" w:color="auto"/>
        <w:left w:val="none" w:sz="0" w:space="0" w:color="auto"/>
        <w:bottom w:val="none" w:sz="0" w:space="0" w:color="auto"/>
        <w:right w:val="none" w:sz="0" w:space="0" w:color="auto"/>
      </w:divBdr>
    </w:div>
    <w:div w:id="210468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54FB3-CDF6-438B-B4ED-7C06A95D3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9</Pages>
  <Words>1747</Words>
  <Characters>11818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MinFin</Company>
  <LinksUpToDate>false</LinksUpToDate>
  <CharactersWithSpaces>13538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Volgina</dc:creator>
  <cp:lastModifiedBy>irinavolgina@minfin-samara.ru</cp:lastModifiedBy>
  <cp:revision>92</cp:revision>
  <cp:lastPrinted>2021-10-27T11:03:00Z</cp:lastPrinted>
  <dcterms:created xsi:type="dcterms:W3CDTF">2020-10-17T12:53:00Z</dcterms:created>
  <dcterms:modified xsi:type="dcterms:W3CDTF">2022-10-26T09:21:00Z</dcterms:modified>
</cp:coreProperties>
</file>